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6A67" w14:textId="17CFDA07" w:rsidR="001A4002" w:rsidRPr="00E06E3A" w:rsidRDefault="001A4002" w:rsidP="001A4002">
      <w:pPr>
        <w:rPr>
          <w:rFonts w:ascii="Trebuchet MS" w:hAnsi="Trebuchet MS"/>
          <w:b/>
          <w:noProof/>
          <w:sz w:val="20"/>
          <w:szCs w:val="20"/>
          <w:lang w:eastAsia="nl-NL"/>
        </w:rPr>
      </w:pPr>
      <w:bookmarkStart w:id="0" w:name="_Toc529446377"/>
      <w:r w:rsidRPr="00E06E3A">
        <w:rPr>
          <w:rFonts w:ascii="Trebuchet MS" w:hAnsi="Trebuchet MS"/>
          <w:b/>
          <w:noProof/>
          <w:sz w:val="20"/>
          <w:szCs w:val="20"/>
          <w:lang w:eastAsia="nl-NL"/>
        </w:rPr>
        <w:t xml:space="preserve">Bijlage </w:t>
      </w:r>
      <w:r w:rsidR="00E06E3A" w:rsidRPr="00E06E3A">
        <w:rPr>
          <w:rFonts w:ascii="Trebuchet MS" w:hAnsi="Trebuchet MS"/>
          <w:b/>
          <w:noProof/>
          <w:sz w:val="20"/>
          <w:szCs w:val="20"/>
          <w:lang w:eastAsia="nl-NL"/>
        </w:rPr>
        <w:t>2.4</w:t>
      </w:r>
      <w:r w:rsidRPr="00E06E3A">
        <w:rPr>
          <w:rFonts w:ascii="Trebuchet MS" w:hAnsi="Trebuchet MS"/>
          <w:b/>
          <w:noProof/>
          <w:sz w:val="20"/>
          <w:szCs w:val="20"/>
          <w:lang w:eastAsia="nl-NL"/>
        </w:rPr>
        <w:t xml:space="preserve"> - Beleidsstukken avg en privacy </w:t>
      </w:r>
      <w:r w:rsidR="0062303B">
        <w:rPr>
          <w:rFonts w:ascii="Trebuchet MS" w:hAnsi="Trebuchet MS"/>
          <w:b/>
          <w:noProof/>
          <w:sz w:val="20"/>
          <w:szCs w:val="20"/>
          <w:lang w:eastAsia="nl-NL"/>
        </w:rPr>
        <w:t>SWV</w:t>
      </w:r>
      <w:bookmarkEnd w:id="0"/>
      <w:r w:rsidRPr="00E06E3A">
        <w:rPr>
          <w:rFonts w:ascii="Trebuchet MS" w:hAnsi="Trebuchet MS"/>
          <w:b/>
          <w:noProof/>
          <w:sz w:val="20"/>
          <w:szCs w:val="20"/>
          <w:lang w:eastAsia="nl-NL"/>
        </w:rPr>
        <w:t xml:space="preserve"> </w:t>
      </w:r>
    </w:p>
    <w:p w14:paraId="7980D6CB" w14:textId="0414A8EB"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Vastgestelde beleidsstukken kader informatiebeveiliging en privacy (</w:t>
      </w:r>
      <w:proofErr w:type="spellStart"/>
      <w:r w:rsidRPr="001A4002">
        <w:rPr>
          <w:rFonts w:ascii="Trebuchet MS" w:eastAsia="HGMinchoB" w:hAnsi="Trebuchet MS" w:cs="Arial"/>
          <w:b/>
          <w:sz w:val="20"/>
        </w:rPr>
        <w:t>avg</w:t>
      </w:r>
      <w:proofErr w:type="spellEnd"/>
      <w:r w:rsidRPr="001A4002">
        <w:rPr>
          <w:rFonts w:ascii="Trebuchet MS" w:eastAsia="HGMinchoB" w:hAnsi="Trebuchet MS" w:cs="Arial"/>
          <w:b/>
          <w:sz w:val="20"/>
        </w:rPr>
        <w:t>)</w:t>
      </w:r>
    </w:p>
    <w:p w14:paraId="5EBD20BB" w14:textId="3E495CA2" w:rsidR="001A4002" w:rsidRPr="001A4002" w:rsidRDefault="001A4002" w:rsidP="001A4002">
      <w:pPr>
        <w:numPr>
          <w:ilvl w:val="0"/>
          <w:numId w:val="2"/>
        </w:numPr>
        <w:spacing w:after="0" w:line="240" w:lineRule="auto"/>
        <w:contextualSpacing/>
        <w:rPr>
          <w:rFonts w:ascii="Trebuchet MS" w:eastAsia="HGMinchoB" w:hAnsi="Trebuchet MS" w:cs="Arial"/>
          <w:sz w:val="20"/>
        </w:rPr>
      </w:pPr>
      <w:proofErr w:type="spellStart"/>
      <w:r w:rsidRPr="001A4002">
        <w:rPr>
          <w:rFonts w:ascii="Trebuchet MS" w:eastAsia="HGMinchoB" w:hAnsi="Trebuchet MS" w:cs="Arial"/>
          <w:sz w:val="20"/>
        </w:rPr>
        <w:t>Privacy</w:t>
      </w:r>
      <w:r w:rsidR="0019406C">
        <w:rPr>
          <w:rFonts w:ascii="Trebuchet MS" w:eastAsia="HGMinchoB" w:hAnsi="Trebuchet MS" w:cs="Arial"/>
          <w:sz w:val="20"/>
        </w:rPr>
        <w:t>convenant</w:t>
      </w:r>
      <w:proofErr w:type="spellEnd"/>
      <w:r w:rsidR="0019406C">
        <w:rPr>
          <w:rFonts w:ascii="Trebuchet MS" w:eastAsia="HGMinchoB" w:hAnsi="Trebuchet MS" w:cs="Arial"/>
          <w:sz w:val="20"/>
        </w:rPr>
        <w:t xml:space="preserve"> </w:t>
      </w:r>
      <w:r w:rsidR="0033135E">
        <w:rPr>
          <w:rFonts w:ascii="Trebuchet MS" w:eastAsia="HGMinchoB" w:hAnsi="Trebuchet MS" w:cs="Arial"/>
          <w:sz w:val="20"/>
        </w:rPr>
        <w:t xml:space="preserve">Gemeente-Onderwijs-Jeugdhulp </w:t>
      </w:r>
      <w:r w:rsidR="0019406C">
        <w:rPr>
          <w:rFonts w:ascii="Trebuchet MS" w:eastAsia="HGMinchoB" w:hAnsi="Trebuchet MS" w:cs="Arial"/>
          <w:sz w:val="20"/>
        </w:rPr>
        <w:t xml:space="preserve">incl. inrichting casusoverleg </w:t>
      </w:r>
      <w:r w:rsidRPr="001A4002">
        <w:rPr>
          <w:rFonts w:ascii="Trebuchet MS" w:eastAsia="HGMinchoB" w:hAnsi="Trebuchet MS" w:cs="Arial"/>
          <w:sz w:val="20"/>
        </w:rPr>
        <w:t xml:space="preserve"> </w:t>
      </w:r>
    </w:p>
    <w:p w14:paraId="189D90DC" w14:textId="77777777" w:rsidR="001A4002" w:rsidRPr="001A4002"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Beleidsplan informatiebeveiliging en privacy en plan van aanpak AVG</w:t>
      </w:r>
    </w:p>
    <w:p w14:paraId="2550E892" w14:textId="77777777" w:rsidR="003626CF"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Protocol beveiligingsincidenten &amp; datalekken</w:t>
      </w:r>
    </w:p>
    <w:p w14:paraId="6FCB031D" w14:textId="4F34206C" w:rsidR="001A4002" w:rsidRDefault="003626CF" w:rsidP="001A4002">
      <w:pPr>
        <w:numPr>
          <w:ilvl w:val="0"/>
          <w:numId w:val="2"/>
        </w:numPr>
        <w:spacing w:after="0" w:line="240" w:lineRule="auto"/>
        <w:contextualSpacing/>
        <w:rPr>
          <w:rFonts w:ascii="Trebuchet MS" w:eastAsia="HGMinchoB" w:hAnsi="Trebuchet MS" w:cs="Arial"/>
          <w:sz w:val="20"/>
        </w:rPr>
      </w:pPr>
      <w:r w:rsidRPr="003626CF">
        <w:rPr>
          <w:rFonts w:ascii="Trebuchet MS" w:eastAsia="HGMinchoB" w:hAnsi="Trebuchet MS" w:cs="Arial"/>
          <w:sz w:val="20"/>
        </w:rPr>
        <w:t>Meldingsformulier beveiligingsincidenten &amp; datalekken</w:t>
      </w:r>
    </w:p>
    <w:p w14:paraId="504612BF" w14:textId="2B7B0A3A" w:rsidR="00EA3A17" w:rsidRPr="00EA3A17" w:rsidRDefault="00EA3A17" w:rsidP="001A4002">
      <w:pPr>
        <w:numPr>
          <w:ilvl w:val="0"/>
          <w:numId w:val="2"/>
        </w:numPr>
        <w:spacing w:after="0" w:line="240" w:lineRule="auto"/>
        <w:contextualSpacing/>
        <w:rPr>
          <w:rFonts w:ascii="Trebuchet MS" w:eastAsia="HGMinchoB" w:hAnsi="Trebuchet MS" w:cs="Arial"/>
          <w:bCs/>
          <w:sz w:val="20"/>
        </w:rPr>
      </w:pPr>
      <w:r w:rsidRPr="00EA3A17">
        <w:rPr>
          <w:rFonts w:ascii="Trebuchet MS" w:eastAsia="HGMinchoB" w:hAnsi="Trebuchet MS" w:cs="Arial"/>
          <w:bCs/>
          <w:sz w:val="20"/>
        </w:rPr>
        <w:t>Geheimhoudingsovereenkomst inzake ICT-dienstverlening</w:t>
      </w:r>
      <w:r>
        <w:rPr>
          <w:rFonts w:ascii="Trebuchet MS" w:eastAsia="HGMinchoB" w:hAnsi="Trebuchet MS" w:cs="Arial"/>
          <w:bCs/>
          <w:sz w:val="20"/>
        </w:rPr>
        <w:t xml:space="preserve"> SCOG</w:t>
      </w:r>
    </w:p>
    <w:p w14:paraId="5A435C68" w14:textId="2BF710DD" w:rsidR="001A4002"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Data</w:t>
      </w:r>
      <w:r w:rsidR="003626CF">
        <w:rPr>
          <w:rFonts w:ascii="Trebuchet MS" w:eastAsia="HGMinchoB" w:hAnsi="Trebuchet MS" w:cs="Arial"/>
          <w:sz w:val="20"/>
        </w:rPr>
        <w:t xml:space="preserve">- </w:t>
      </w:r>
      <w:r w:rsidR="00A92EC1">
        <w:rPr>
          <w:rFonts w:ascii="Trebuchet MS" w:eastAsia="HGMinchoB" w:hAnsi="Trebuchet MS" w:cs="Arial"/>
          <w:sz w:val="20"/>
        </w:rPr>
        <w:t>&amp; verwerkings</w:t>
      </w:r>
      <w:r w:rsidRPr="001A4002">
        <w:rPr>
          <w:rFonts w:ascii="Trebuchet MS" w:eastAsia="HGMinchoB" w:hAnsi="Trebuchet MS" w:cs="Arial"/>
          <w:sz w:val="20"/>
        </w:rPr>
        <w:t xml:space="preserve">register overzicht en inzicht </w:t>
      </w:r>
      <w:r w:rsidR="0062303B">
        <w:rPr>
          <w:rFonts w:ascii="Trebuchet MS" w:eastAsia="HGMinchoB" w:hAnsi="Trebuchet MS" w:cs="Arial"/>
          <w:sz w:val="20"/>
        </w:rPr>
        <w:t>SWV</w:t>
      </w:r>
      <w:r w:rsidRPr="001A4002">
        <w:rPr>
          <w:rFonts w:ascii="Trebuchet MS" w:eastAsia="HGMinchoB" w:hAnsi="Trebuchet MS" w:cs="Arial"/>
          <w:sz w:val="20"/>
        </w:rPr>
        <w:t xml:space="preserve"> VO Groningen Stad </w:t>
      </w:r>
    </w:p>
    <w:p w14:paraId="2AFFA6AD" w14:textId="57764250" w:rsidR="00F47296" w:rsidRDefault="00F47296" w:rsidP="001A4002">
      <w:pPr>
        <w:numPr>
          <w:ilvl w:val="0"/>
          <w:numId w:val="2"/>
        </w:numPr>
        <w:spacing w:after="0" w:line="240" w:lineRule="auto"/>
        <w:contextualSpacing/>
        <w:rPr>
          <w:rFonts w:ascii="Trebuchet MS" w:eastAsia="HGMinchoB" w:hAnsi="Trebuchet MS" w:cs="Arial"/>
          <w:sz w:val="20"/>
        </w:rPr>
      </w:pPr>
      <w:r>
        <w:rPr>
          <w:rFonts w:ascii="Trebuchet MS" w:eastAsia="HGMinchoB" w:hAnsi="Trebuchet MS" w:cs="Arial"/>
          <w:sz w:val="20"/>
        </w:rPr>
        <w:t xml:space="preserve">Overzicht autorisaties SWV VO Groningen Stad </w:t>
      </w:r>
    </w:p>
    <w:p w14:paraId="09180C5F" w14:textId="624A6A70" w:rsidR="007D1F21" w:rsidRPr="001A4002" w:rsidRDefault="007D1F21" w:rsidP="001A4002">
      <w:pPr>
        <w:numPr>
          <w:ilvl w:val="0"/>
          <w:numId w:val="2"/>
        </w:numPr>
        <w:spacing w:after="0" w:line="240" w:lineRule="auto"/>
        <w:contextualSpacing/>
        <w:rPr>
          <w:rFonts w:ascii="Trebuchet MS" w:eastAsia="HGMinchoB" w:hAnsi="Trebuchet MS" w:cs="Arial"/>
          <w:sz w:val="20"/>
        </w:rPr>
      </w:pPr>
      <w:r w:rsidRPr="007D1F21">
        <w:rPr>
          <w:rFonts w:ascii="Trebuchet MS" w:eastAsia="HGMinchoB" w:hAnsi="Trebuchet MS" w:cs="Arial"/>
          <w:sz w:val="20"/>
        </w:rPr>
        <w:t xml:space="preserve">Procedure rechten betrokkenen SWV VO Groningen Stad </w:t>
      </w:r>
    </w:p>
    <w:p w14:paraId="653CD8C5" w14:textId="04B0AB7B" w:rsidR="001A4002" w:rsidRPr="001A4002"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D</w:t>
      </w:r>
      <w:r w:rsidR="00A92EC1">
        <w:rPr>
          <w:rFonts w:ascii="Trebuchet MS" w:eastAsia="HGMinchoB" w:hAnsi="Trebuchet MS" w:cs="Arial"/>
          <w:sz w:val="20"/>
        </w:rPr>
        <w:t xml:space="preserve">ata </w:t>
      </w:r>
      <w:proofErr w:type="spellStart"/>
      <w:r w:rsidR="00A92EC1">
        <w:rPr>
          <w:rFonts w:ascii="Trebuchet MS" w:eastAsia="HGMinchoB" w:hAnsi="Trebuchet MS" w:cs="Arial"/>
          <w:sz w:val="20"/>
        </w:rPr>
        <w:t>Protection</w:t>
      </w:r>
      <w:proofErr w:type="spellEnd"/>
      <w:r w:rsidR="00A92EC1">
        <w:rPr>
          <w:rFonts w:ascii="Trebuchet MS" w:eastAsia="HGMinchoB" w:hAnsi="Trebuchet MS" w:cs="Arial"/>
          <w:sz w:val="20"/>
        </w:rPr>
        <w:t xml:space="preserve"> Impact </w:t>
      </w:r>
      <w:proofErr w:type="spellStart"/>
      <w:r w:rsidR="00A92EC1">
        <w:rPr>
          <w:rFonts w:ascii="Trebuchet MS" w:eastAsia="HGMinchoB" w:hAnsi="Trebuchet MS" w:cs="Arial"/>
          <w:sz w:val="20"/>
        </w:rPr>
        <w:t>Asessment</w:t>
      </w:r>
      <w:proofErr w:type="spellEnd"/>
      <w:r w:rsidR="00A92EC1">
        <w:rPr>
          <w:rFonts w:ascii="Trebuchet MS" w:eastAsia="HGMinchoB" w:hAnsi="Trebuchet MS" w:cs="Arial"/>
          <w:sz w:val="20"/>
        </w:rPr>
        <w:t xml:space="preserve"> (D</w:t>
      </w:r>
      <w:r w:rsidRPr="001A4002">
        <w:rPr>
          <w:rFonts w:ascii="Trebuchet MS" w:eastAsia="HGMinchoB" w:hAnsi="Trebuchet MS" w:cs="Arial"/>
          <w:sz w:val="20"/>
        </w:rPr>
        <w:t>PIA</w:t>
      </w:r>
      <w:r w:rsidR="00A92EC1">
        <w:rPr>
          <w:rFonts w:ascii="Trebuchet MS" w:eastAsia="HGMinchoB" w:hAnsi="Trebuchet MS" w:cs="Arial"/>
          <w:sz w:val="20"/>
        </w:rPr>
        <w:t>)</w:t>
      </w:r>
      <w:r w:rsidRPr="001A4002">
        <w:rPr>
          <w:rFonts w:ascii="Trebuchet MS" w:eastAsia="HGMinchoB" w:hAnsi="Trebuchet MS" w:cs="Arial"/>
          <w:sz w:val="20"/>
        </w:rPr>
        <w:t xml:space="preserve"> beleid en vragenlijst</w:t>
      </w:r>
    </w:p>
    <w:p w14:paraId="6A54F958" w14:textId="4B24B3E2" w:rsidR="001A4002" w:rsidRPr="001A4002"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 xml:space="preserve">Code gebruik informatie </w:t>
      </w:r>
      <w:proofErr w:type="spellStart"/>
      <w:r w:rsidRPr="001A4002">
        <w:rPr>
          <w:rFonts w:ascii="Trebuchet MS" w:eastAsia="HGMinchoB" w:hAnsi="Trebuchet MS" w:cs="Arial"/>
          <w:sz w:val="20"/>
        </w:rPr>
        <w:t>ict</w:t>
      </w:r>
      <w:proofErr w:type="spellEnd"/>
      <w:r w:rsidRPr="001A4002">
        <w:rPr>
          <w:rFonts w:ascii="Trebuchet MS" w:eastAsia="HGMinchoB" w:hAnsi="Trebuchet MS" w:cs="Arial"/>
          <w:sz w:val="20"/>
        </w:rPr>
        <w:t xml:space="preserve"> </w:t>
      </w:r>
      <w:r w:rsidR="0062303B">
        <w:rPr>
          <w:rFonts w:ascii="Trebuchet MS" w:eastAsia="HGMinchoB" w:hAnsi="Trebuchet MS" w:cs="Arial"/>
          <w:sz w:val="20"/>
        </w:rPr>
        <w:t>SWV</w:t>
      </w:r>
      <w:r w:rsidRPr="001A4002">
        <w:rPr>
          <w:rFonts w:ascii="Trebuchet MS" w:eastAsia="HGMinchoB" w:hAnsi="Trebuchet MS" w:cs="Arial"/>
          <w:sz w:val="20"/>
        </w:rPr>
        <w:t xml:space="preserve"> VO Groningen Stad</w:t>
      </w:r>
    </w:p>
    <w:p w14:paraId="58EEA7DE" w14:textId="77777777" w:rsidR="001A4002" w:rsidRPr="001A4002"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 xml:space="preserve">Tips voor medewerkers informatiebeveiliging en privacy </w:t>
      </w:r>
    </w:p>
    <w:p w14:paraId="0FA58970" w14:textId="77777777" w:rsidR="007D1F21" w:rsidRDefault="001A4002" w:rsidP="001A4002">
      <w:pPr>
        <w:numPr>
          <w:ilvl w:val="0"/>
          <w:numId w:val="2"/>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 xml:space="preserve">Profielschets </w:t>
      </w:r>
      <w:proofErr w:type="spellStart"/>
      <w:r w:rsidRPr="001A4002">
        <w:rPr>
          <w:rFonts w:ascii="Trebuchet MS" w:eastAsia="HGMinchoB" w:hAnsi="Trebuchet MS" w:cs="Arial"/>
          <w:sz w:val="20"/>
        </w:rPr>
        <w:t>fg</w:t>
      </w:r>
      <w:proofErr w:type="spellEnd"/>
      <w:r w:rsidRPr="001A4002">
        <w:rPr>
          <w:rFonts w:ascii="Trebuchet MS" w:eastAsia="HGMinchoB" w:hAnsi="Trebuchet MS" w:cs="Arial"/>
          <w:sz w:val="20"/>
        </w:rPr>
        <w:t xml:space="preserve"> en taken &amp; bevoegdheden </w:t>
      </w:r>
      <w:proofErr w:type="spellStart"/>
      <w:r w:rsidR="00FC7FD9">
        <w:rPr>
          <w:rFonts w:ascii="Trebuchet MS" w:eastAsia="HGMinchoB" w:hAnsi="Trebuchet MS" w:cs="Arial"/>
          <w:sz w:val="20"/>
        </w:rPr>
        <w:t>swv</w:t>
      </w:r>
      <w:proofErr w:type="spellEnd"/>
      <w:r w:rsidR="00FC7FD9">
        <w:rPr>
          <w:rFonts w:ascii="Trebuchet MS" w:eastAsia="HGMinchoB" w:hAnsi="Trebuchet MS" w:cs="Arial"/>
          <w:sz w:val="20"/>
        </w:rPr>
        <w:t xml:space="preserve"> </w:t>
      </w:r>
      <w:r w:rsidRPr="001A4002">
        <w:rPr>
          <w:rFonts w:ascii="Trebuchet MS" w:eastAsia="HGMinchoB" w:hAnsi="Trebuchet MS" w:cs="Arial"/>
          <w:sz w:val="20"/>
        </w:rPr>
        <w:t xml:space="preserve">en </w:t>
      </w:r>
      <w:proofErr w:type="spellStart"/>
      <w:r w:rsidRPr="001A4002">
        <w:rPr>
          <w:rFonts w:ascii="Trebuchet MS" w:eastAsia="HGMinchoB" w:hAnsi="Trebuchet MS" w:cs="Arial"/>
          <w:sz w:val="20"/>
        </w:rPr>
        <w:t>fg</w:t>
      </w:r>
      <w:proofErr w:type="spellEnd"/>
    </w:p>
    <w:p w14:paraId="1093E0E8" w14:textId="77777777" w:rsidR="006A0613" w:rsidRDefault="006A0613" w:rsidP="001A4002">
      <w:pPr>
        <w:numPr>
          <w:ilvl w:val="0"/>
          <w:numId w:val="2"/>
        </w:numPr>
        <w:spacing w:after="0" w:line="240" w:lineRule="auto"/>
        <w:contextualSpacing/>
        <w:rPr>
          <w:rFonts w:ascii="Trebuchet MS" w:eastAsia="HGMinchoB" w:hAnsi="Trebuchet MS" w:cs="Arial"/>
          <w:sz w:val="20"/>
        </w:rPr>
      </w:pPr>
      <w:r>
        <w:rPr>
          <w:rFonts w:ascii="Trebuchet MS" w:eastAsia="HGMinchoB" w:hAnsi="Trebuchet MS" w:cs="Arial"/>
          <w:sz w:val="20"/>
        </w:rPr>
        <w:t xml:space="preserve">Beveiligen Word document </w:t>
      </w:r>
    </w:p>
    <w:p w14:paraId="56AAD600" w14:textId="209C7F3D" w:rsidR="001A4002" w:rsidRPr="001A4002" w:rsidRDefault="006A0613" w:rsidP="001A4002">
      <w:pPr>
        <w:numPr>
          <w:ilvl w:val="0"/>
          <w:numId w:val="2"/>
        </w:numPr>
        <w:spacing w:after="0" w:line="240" w:lineRule="auto"/>
        <w:contextualSpacing/>
        <w:rPr>
          <w:rFonts w:ascii="Trebuchet MS" w:eastAsia="HGMinchoB" w:hAnsi="Trebuchet MS" w:cs="Arial"/>
          <w:sz w:val="20"/>
        </w:rPr>
      </w:pPr>
      <w:r>
        <w:rPr>
          <w:rFonts w:ascii="Trebuchet MS" w:eastAsia="HGMinchoB" w:hAnsi="Trebuchet MS" w:cs="Arial"/>
          <w:sz w:val="20"/>
        </w:rPr>
        <w:t xml:space="preserve">Delen vanuit </w:t>
      </w:r>
      <w:proofErr w:type="spellStart"/>
      <w:r>
        <w:rPr>
          <w:rFonts w:ascii="Trebuchet MS" w:eastAsia="HGMinchoB" w:hAnsi="Trebuchet MS" w:cs="Arial"/>
          <w:sz w:val="20"/>
        </w:rPr>
        <w:t>Sharepoint</w:t>
      </w:r>
      <w:proofErr w:type="spellEnd"/>
      <w:r w:rsidR="001A4002" w:rsidRPr="001A4002">
        <w:rPr>
          <w:rFonts w:ascii="Trebuchet MS" w:eastAsia="HGMinchoB" w:hAnsi="Trebuchet MS" w:cs="Arial"/>
          <w:sz w:val="20"/>
        </w:rPr>
        <w:t xml:space="preserve"> </w:t>
      </w:r>
    </w:p>
    <w:p w14:paraId="72E09C7B" w14:textId="77777777" w:rsidR="001A4002" w:rsidRPr="001A4002" w:rsidRDefault="001A4002" w:rsidP="001A4002">
      <w:pPr>
        <w:spacing w:after="0" w:line="240" w:lineRule="auto"/>
        <w:rPr>
          <w:rFonts w:ascii="Trebuchet MS" w:eastAsia="HGMinchoB" w:hAnsi="Trebuchet MS" w:cs="Arial"/>
          <w:b/>
          <w:sz w:val="20"/>
        </w:rPr>
      </w:pPr>
    </w:p>
    <w:p w14:paraId="2DE01CC3" w14:textId="77777777" w:rsidR="001A4002" w:rsidRPr="001A4002" w:rsidRDefault="001A4002" w:rsidP="001A4002">
      <w:pPr>
        <w:spacing w:after="0" w:line="240" w:lineRule="auto"/>
        <w:rPr>
          <w:rFonts w:ascii="Trebuchet MS" w:eastAsia="HGMinchoB" w:hAnsi="Trebuchet MS" w:cs="Arial"/>
          <w:b/>
          <w:sz w:val="20"/>
        </w:rPr>
      </w:pPr>
    </w:p>
    <w:p w14:paraId="09BC24E8" w14:textId="74AD61EB"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 xml:space="preserve">Privacy: wat mag een </w:t>
      </w:r>
      <w:r w:rsidR="0062303B">
        <w:rPr>
          <w:rFonts w:ascii="Trebuchet MS" w:eastAsia="HGMinchoB" w:hAnsi="Trebuchet MS" w:cs="Arial"/>
          <w:b/>
          <w:sz w:val="20"/>
        </w:rPr>
        <w:t>SWV</w:t>
      </w:r>
      <w:r w:rsidRPr="001A4002">
        <w:rPr>
          <w:rFonts w:ascii="Trebuchet MS" w:eastAsia="HGMinchoB" w:hAnsi="Trebuchet MS" w:cs="Arial"/>
          <w:b/>
          <w:sz w:val="20"/>
        </w:rPr>
        <w:t xml:space="preserve"> wel en wat niet?</w:t>
      </w:r>
    </w:p>
    <w:p w14:paraId="11E09760" w14:textId="77777777" w:rsidR="001A4002" w:rsidRPr="001A4002" w:rsidRDefault="001A4002" w:rsidP="001A4002">
      <w:pPr>
        <w:spacing w:after="0" w:line="240" w:lineRule="auto"/>
        <w:rPr>
          <w:rFonts w:ascii="Trebuchet MS" w:eastAsia="HGMinchoB" w:hAnsi="Trebuchet MS" w:cs="Arial"/>
          <w:b/>
          <w:sz w:val="20"/>
        </w:rPr>
      </w:pPr>
    </w:p>
    <w:p w14:paraId="701BEF1A" w14:textId="77777777"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Leerplichtwet</w:t>
      </w:r>
    </w:p>
    <w:p w14:paraId="7AB09F3E"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Er is een wettelijke grondslag voor het delen van persoonsgegevens rond relatief verzuim tussen school en leerplicht, in het belang van de leerling die gebaat is bij geregeld schoolbezoek. Ook het </w:t>
      </w:r>
      <w:proofErr w:type="spellStart"/>
      <w:r w:rsidRPr="001A4002">
        <w:rPr>
          <w:rFonts w:ascii="Trebuchet MS" w:eastAsia="HGMinchoB" w:hAnsi="Trebuchet MS" w:cs="Arial"/>
          <w:sz w:val="20"/>
        </w:rPr>
        <w:t>bsn</w:t>
      </w:r>
      <w:proofErr w:type="spellEnd"/>
      <w:r w:rsidRPr="001A4002">
        <w:rPr>
          <w:rFonts w:ascii="Trebuchet MS" w:eastAsia="HGMinchoB" w:hAnsi="Trebuchet MS" w:cs="Arial"/>
          <w:sz w:val="20"/>
        </w:rPr>
        <w:t xml:space="preserve"> van de leerling wordt daarbij uitgewisseld.</w:t>
      </w:r>
    </w:p>
    <w:p w14:paraId="64DA15D1"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De Leerplichtwet noemt niet het samenwerkingsverband. Voor het delen van persoonsgegevens met het samenwerkingsverband is wel een grond te vinden; de instructie van B en W moet immers bevatten een aanwijzing van instellingen waarmee de ambtenaren bij de uitvoering van hun taken dienen samen te werken. Het ligt voor de hand dat hier ook samenwerkingsverbanden worden opgenomen omdat op die manier op regionaal niveau goed gemonitord kan worden hoe het staat met de thuiszitters, en het samenwerkingsverband ook een noodzakelijke actor is om bij absoluut verzuim te bezien welke mogelijkheden er zijn in de regio om de leerling onderwijs te laten genieten. </w:t>
      </w:r>
    </w:p>
    <w:p w14:paraId="1D83DC5A"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Hieronder gaan we nog in op de AVG die ruimte laat voor diverse grondslagen voor gegevensverwerking; dit hoeft niet alleen een wettelijke grondslag te zijn, of gebaseerd te zijn op toestemming van betrokkene. Het kan ook nodig zijn om een publiekrechtelijke taak goed te kunnen uitvoeren en dat is hier zeker aan de orde.</w:t>
      </w:r>
    </w:p>
    <w:p w14:paraId="03EF1007"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Dat gegevens van thuiszitters ook in een multidisciplinair overleg aan de orde kunnen komen is ook een vraag die hiermee verband houdt. Om een oplossing te kunnen bereiken in soms ingewikkelde casussen is samenwerking tussen onderwijs, leerplicht en jeugdhulpverlening regelmatig aan de orde. Vaak moet op meerdere fronten tegelijk actie worden ondernomen in zowel de thuissituatie als de onderwijssituatie. In de Handreiking gegevensuitwisseling wordt aangegeven om zo mogelijk dit gesprek altijd samen met ouders te voeren. Indien dat niet mogelijk is, gaat het om uitwisselen van die gegevens die nodig zijn voor het beoogde doel (data-minimalisatie, doelbinding en proportionaliteit). Een privacy-convenant is dan voor zo’n overleg gewenst om de spelregels van het delen van gegevens vast te leggen en de wijze waarop dit gebeurt.</w:t>
      </w:r>
    </w:p>
    <w:p w14:paraId="0546859C" w14:textId="77777777" w:rsidR="001A4002" w:rsidRPr="001A4002" w:rsidRDefault="001A4002" w:rsidP="001A4002">
      <w:pPr>
        <w:spacing w:after="0" w:line="240" w:lineRule="auto"/>
        <w:rPr>
          <w:rFonts w:ascii="Trebuchet MS" w:eastAsia="HGMinchoB" w:hAnsi="Trebuchet MS" w:cs="Arial"/>
          <w:sz w:val="20"/>
        </w:rPr>
      </w:pPr>
    </w:p>
    <w:p w14:paraId="7D805376" w14:textId="77777777"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 xml:space="preserve">Wet op het Onderwijstoezicht </w:t>
      </w:r>
    </w:p>
    <w:p w14:paraId="3F0ED2FF"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Samenwerkingsverbanden hebben de wettelijke taak (doel) om zorgen te dragen “voor een samenhangend geheel van ondersteuningsvoorzieningen binnen en tussen de scholen, en wel zodanig dat leerlingen een ononderbroken ontwikkelingsproces kunnen doormaken en leerlingen die extra ondersteuning behoeven een zo passend mogelijke plaats in het onderwijs krijgen” (uit wet passend onderwijs).</w:t>
      </w:r>
    </w:p>
    <w:p w14:paraId="36C167AA"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Hoewel dit niet zo letterlijk in de wettekst staat wordt in de parlementaire behandeling en in de uitleg hiervan gewezen o.a. op de taak van het samenwerkingsverband om zorg te dragen voor een dekkend aanbod aan ondersteuningsvoorzieningen en het tegengaan van thuiszitters. Niet in discussie is dat dit alom wordt gezien als belangrijke taken voor het samenwerkingsverband.</w:t>
      </w:r>
    </w:p>
    <w:p w14:paraId="34B2B53B"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Dat samenwerkingsverbanden een (wettelijke) taak hebben ten aanzien van thuiszitters wordt ook duidelijk uit de Wet op het Onderwijstoezicht (WOT), dat het toezicht vanuit de Onderwijsinspectie regelt. De WOT heeft ook een </w:t>
      </w:r>
      <w:proofErr w:type="spellStart"/>
      <w:r w:rsidRPr="001A4002">
        <w:rPr>
          <w:rFonts w:ascii="Trebuchet MS" w:eastAsia="HGMinchoB" w:hAnsi="Trebuchet MS" w:cs="Arial"/>
          <w:sz w:val="20"/>
        </w:rPr>
        <w:t>toezichtskader</w:t>
      </w:r>
      <w:proofErr w:type="spellEnd"/>
      <w:r w:rsidRPr="001A4002">
        <w:rPr>
          <w:rFonts w:ascii="Trebuchet MS" w:eastAsia="HGMinchoB" w:hAnsi="Trebuchet MS" w:cs="Arial"/>
          <w:sz w:val="20"/>
        </w:rPr>
        <w:t xml:space="preserve"> voor de samenwerkingsverbanden. In het kader van </w:t>
      </w:r>
      <w:r w:rsidRPr="001A4002">
        <w:rPr>
          <w:rFonts w:ascii="Trebuchet MS" w:eastAsia="HGMinchoB" w:hAnsi="Trebuchet MS" w:cs="Arial"/>
          <w:sz w:val="20"/>
        </w:rPr>
        <w:lastRenderedPageBreak/>
        <w:t>het regulier onderzoek bij samenwerkingsverbanden betrekt de Onderwijsinspectie een aantal indicatoren waarbij ook de volgende indicatoren expliciet worden genoemd:</w:t>
      </w:r>
    </w:p>
    <w:p w14:paraId="46DF756B" w14:textId="2FFDE27F" w:rsidR="001A4002" w:rsidRPr="00517CF5" w:rsidRDefault="001A4002" w:rsidP="00517CF5">
      <w:pPr>
        <w:pStyle w:val="Lijstalinea"/>
        <w:numPr>
          <w:ilvl w:val="0"/>
          <w:numId w:val="4"/>
        </w:numPr>
        <w:spacing w:after="0" w:line="240" w:lineRule="auto"/>
        <w:rPr>
          <w:rFonts w:ascii="Trebuchet MS" w:eastAsia="HGMinchoB" w:hAnsi="Trebuchet MS" w:cs="Arial"/>
          <w:sz w:val="20"/>
        </w:rPr>
      </w:pPr>
      <w:r w:rsidRPr="00517CF5">
        <w:rPr>
          <w:rFonts w:ascii="Trebuchet MS" w:eastAsia="HGMinchoB" w:hAnsi="Trebuchet MS" w:cs="Arial"/>
          <w:sz w:val="20"/>
        </w:rPr>
        <w:t>het aantal leerplichtige jongeren wonend in het gebied van het samenwerkingsverband dat niet is ingeschreven bij een school als bedoeld in de Leerplichtwet 1969,</w:t>
      </w:r>
    </w:p>
    <w:p w14:paraId="05A873AC" w14:textId="23DEB983" w:rsidR="001A4002" w:rsidRPr="00517CF5" w:rsidRDefault="001A4002" w:rsidP="00517CF5">
      <w:pPr>
        <w:pStyle w:val="Lijstalinea"/>
        <w:numPr>
          <w:ilvl w:val="0"/>
          <w:numId w:val="4"/>
        </w:numPr>
        <w:spacing w:after="0" w:line="240" w:lineRule="auto"/>
        <w:rPr>
          <w:rFonts w:ascii="Trebuchet MS" w:eastAsia="HGMinchoB" w:hAnsi="Trebuchet MS" w:cs="Arial"/>
          <w:sz w:val="20"/>
        </w:rPr>
      </w:pPr>
      <w:r w:rsidRPr="00517CF5">
        <w:rPr>
          <w:rFonts w:ascii="Trebuchet MS" w:eastAsia="HGMinchoB" w:hAnsi="Trebuchet MS" w:cs="Arial"/>
          <w:sz w:val="20"/>
        </w:rPr>
        <w:t>het aantal leerplichtige leerlingen van scholen in het samenwerkingsverband dat het onderwijs aan de school waaraan hij is ingeschreven gedurende een aaneengesloten periode van ten minste vier weken zonder geldige reden niet meer volgt.</w:t>
      </w:r>
    </w:p>
    <w:p w14:paraId="4C084F7C" w14:textId="73566D6D" w:rsidR="001A4002" w:rsidRPr="001A4002" w:rsidRDefault="0033135E" w:rsidP="001A4002">
      <w:pPr>
        <w:spacing w:after="0" w:line="240" w:lineRule="auto"/>
        <w:rPr>
          <w:rFonts w:ascii="Trebuchet MS" w:eastAsia="HGMinchoB" w:hAnsi="Trebuchet MS" w:cs="Arial"/>
          <w:sz w:val="20"/>
        </w:rPr>
      </w:pPr>
      <w:r>
        <w:rPr>
          <w:rFonts w:ascii="Trebuchet MS" w:eastAsia="HGMinchoB" w:hAnsi="Trebuchet MS" w:cs="Arial"/>
          <w:sz w:val="20"/>
        </w:rPr>
        <w:br/>
      </w:r>
      <w:r w:rsidR="001A4002" w:rsidRPr="001A4002">
        <w:rPr>
          <w:rFonts w:ascii="Trebuchet MS" w:eastAsia="HGMinchoB" w:hAnsi="Trebuchet MS" w:cs="Arial"/>
          <w:sz w:val="20"/>
        </w:rPr>
        <w:t>De Onderwijsinspectie is dus gerechtigd om rechtstreeks bij het samenwerkingsverband gegevens op te halen over aantallen jongeren die absoluut en relatief verzuimen bij de scholen van het samenwerkingsverband. Dit is inmiddels ook staand beleid bij de Inspectie, waarbij vier maal per jaar de gegevens worden opgevraagd.</w:t>
      </w:r>
    </w:p>
    <w:p w14:paraId="75DE1957" w14:textId="1C981F4B"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De Onderwijsinspectie gebruikt die gegevens om te kunnen monitoren of het beleid van het samenwerkingsverband om thuiszitters tegen te gaan al dan niet succesvol is (lees: of het aantal thuiszitters in de loop van de tijd ook daalt in het </w:t>
      </w:r>
      <w:r w:rsidR="0062303B">
        <w:rPr>
          <w:rFonts w:ascii="Trebuchet MS" w:eastAsia="HGMinchoB" w:hAnsi="Trebuchet MS" w:cs="Arial"/>
          <w:sz w:val="20"/>
        </w:rPr>
        <w:t>SWV</w:t>
      </w:r>
      <w:r w:rsidRPr="001A4002">
        <w:rPr>
          <w:rFonts w:ascii="Trebuchet MS" w:eastAsia="HGMinchoB" w:hAnsi="Trebuchet MS" w:cs="Arial"/>
          <w:sz w:val="20"/>
        </w:rPr>
        <w:t>). Nadrukkelijk is er geen wettelijke grondslag voor het delen van persoonsgegevens en mag de Onderwijsinspectie die dus niet opvragen.</w:t>
      </w:r>
    </w:p>
    <w:p w14:paraId="647F21E1" w14:textId="77777777" w:rsidR="001A4002" w:rsidRPr="001A4002" w:rsidRDefault="001A4002" w:rsidP="001A4002">
      <w:pPr>
        <w:spacing w:after="0" w:line="240" w:lineRule="auto"/>
        <w:rPr>
          <w:rFonts w:ascii="Trebuchet MS" w:eastAsia="HGMinchoB" w:hAnsi="Trebuchet MS" w:cs="Arial"/>
          <w:sz w:val="20"/>
        </w:rPr>
      </w:pPr>
    </w:p>
    <w:p w14:paraId="7C439791" w14:textId="77777777"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Samenwerkingsverband</w:t>
      </w:r>
    </w:p>
    <w:p w14:paraId="481A85EB" w14:textId="66D90ED4"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Voor het samenwerkingsverband geldt dat zij dus wettelijk verplicht zijn om aan de Onderwijsinspectie desgevraagd aantallen relatieve en absolute thuiszitters door te geven. Om die taak goed te kunnen uitvoeren heeft het </w:t>
      </w:r>
      <w:r w:rsidR="0062303B">
        <w:rPr>
          <w:rFonts w:ascii="Trebuchet MS" w:eastAsia="HGMinchoB" w:hAnsi="Trebuchet MS" w:cs="Arial"/>
          <w:sz w:val="20"/>
        </w:rPr>
        <w:t>SWV</w:t>
      </w:r>
      <w:r w:rsidRPr="001A4002">
        <w:rPr>
          <w:rFonts w:ascii="Trebuchet MS" w:eastAsia="HGMinchoB" w:hAnsi="Trebuchet MS" w:cs="Arial"/>
          <w:sz w:val="20"/>
        </w:rPr>
        <w:t xml:space="preserve"> persoonsgegevens nodig van de aangesloten scholen (relatieve thuiszitters) en van de betrokken leerplichtambtenaren (absoluut verzuim). Het kan niet anders of in dit geval zullen ook namen/adressen van jongeren moeten worden verzameld om tot een goed totaalbeeld te komen en te voorkomen dat dubbeltellingen plaatsvinden.</w:t>
      </w:r>
    </w:p>
    <w:p w14:paraId="3C90661B" w14:textId="77777777" w:rsidR="001A4002" w:rsidRPr="001A4002" w:rsidRDefault="001A4002" w:rsidP="001A4002">
      <w:pPr>
        <w:spacing w:after="0" w:line="240" w:lineRule="auto"/>
        <w:rPr>
          <w:rFonts w:ascii="Trebuchet MS" w:eastAsia="HGMinchoB" w:hAnsi="Trebuchet MS" w:cs="Arial"/>
          <w:sz w:val="20"/>
        </w:rPr>
      </w:pPr>
    </w:p>
    <w:p w14:paraId="0AA9FC91" w14:textId="415786EB"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Om dezelfde reden heeft het </w:t>
      </w:r>
      <w:r w:rsidR="0062303B">
        <w:rPr>
          <w:rFonts w:ascii="Trebuchet MS" w:eastAsia="HGMinchoB" w:hAnsi="Trebuchet MS" w:cs="Arial"/>
          <w:sz w:val="20"/>
        </w:rPr>
        <w:t>SWV</w:t>
      </w:r>
      <w:r w:rsidRPr="001A4002">
        <w:rPr>
          <w:rFonts w:ascii="Trebuchet MS" w:eastAsia="HGMinchoB" w:hAnsi="Trebuchet MS" w:cs="Arial"/>
          <w:sz w:val="20"/>
        </w:rPr>
        <w:t xml:space="preserve"> dus ook persoonsgegevens nodig van leerplicht om zich een beeld te vormen van de omvang van het absoluut verzuim. Hierboven hebben wij al gezien dat leerplicht voor hun eigen taakuitoefening het ook nodig zullen hebben dat persoonsgegevens over absoluut verzuimende jongeren worden uitgewisseld met het </w:t>
      </w:r>
      <w:r w:rsidR="0062303B">
        <w:rPr>
          <w:rFonts w:ascii="Trebuchet MS" w:eastAsia="HGMinchoB" w:hAnsi="Trebuchet MS" w:cs="Arial"/>
          <w:sz w:val="20"/>
        </w:rPr>
        <w:t>SWV</w:t>
      </w:r>
      <w:r w:rsidRPr="001A4002">
        <w:rPr>
          <w:rFonts w:ascii="Trebuchet MS" w:eastAsia="HGMinchoB" w:hAnsi="Trebuchet MS" w:cs="Arial"/>
          <w:sz w:val="20"/>
        </w:rPr>
        <w:t>. Er is dus een functionele, wederzijdse noodzaak om tot uitwisseling van persoonsgegevens te komen.</w:t>
      </w:r>
    </w:p>
    <w:p w14:paraId="364B0996" w14:textId="77777777" w:rsidR="001A4002" w:rsidRPr="001A4002" w:rsidRDefault="001A4002" w:rsidP="001A4002">
      <w:pPr>
        <w:spacing w:after="0" w:line="240" w:lineRule="auto"/>
        <w:rPr>
          <w:rFonts w:ascii="Trebuchet MS" w:eastAsia="HGMinchoB" w:hAnsi="Trebuchet MS" w:cs="Arial"/>
          <w:sz w:val="20"/>
        </w:rPr>
      </w:pPr>
    </w:p>
    <w:p w14:paraId="77BBA132" w14:textId="343B330C"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In AVG-termen: om een wettelijke taak goed te kunnen uitvoeren is het noodzakelijk dat de aangesloten scholen en betrokken leerplichtambtenaren met het </w:t>
      </w:r>
      <w:r w:rsidR="0062303B">
        <w:rPr>
          <w:rFonts w:ascii="Trebuchet MS" w:eastAsia="HGMinchoB" w:hAnsi="Trebuchet MS" w:cs="Arial"/>
          <w:sz w:val="20"/>
        </w:rPr>
        <w:t>SWV</w:t>
      </w:r>
      <w:r w:rsidRPr="001A4002">
        <w:rPr>
          <w:rFonts w:ascii="Trebuchet MS" w:eastAsia="HGMinchoB" w:hAnsi="Trebuchet MS" w:cs="Arial"/>
          <w:sz w:val="20"/>
        </w:rPr>
        <w:t xml:space="preserve"> persoonsgegevens van verzuimende leerlingen uitwisselen. Hierbij past de kanttekening dat er geen wettelijke grondslag is voor het </w:t>
      </w:r>
      <w:r w:rsidR="0062303B">
        <w:rPr>
          <w:rFonts w:ascii="Trebuchet MS" w:eastAsia="HGMinchoB" w:hAnsi="Trebuchet MS" w:cs="Arial"/>
          <w:sz w:val="20"/>
        </w:rPr>
        <w:t>SWV</w:t>
      </w:r>
      <w:r w:rsidRPr="001A4002">
        <w:rPr>
          <w:rFonts w:ascii="Trebuchet MS" w:eastAsia="HGMinchoB" w:hAnsi="Trebuchet MS" w:cs="Arial"/>
          <w:sz w:val="20"/>
        </w:rPr>
        <w:t xml:space="preserve"> om het BSN van een leerling te registreren.</w:t>
      </w:r>
    </w:p>
    <w:p w14:paraId="7423F5F8" w14:textId="77777777" w:rsidR="001A4002" w:rsidRPr="001A4002" w:rsidRDefault="001A4002" w:rsidP="001A4002">
      <w:pPr>
        <w:spacing w:after="0" w:line="240" w:lineRule="auto"/>
        <w:rPr>
          <w:rFonts w:ascii="Trebuchet MS" w:eastAsia="HGMinchoB" w:hAnsi="Trebuchet MS" w:cs="Arial"/>
          <w:sz w:val="20"/>
        </w:rPr>
      </w:pPr>
    </w:p>
    <w:p w14:paraId="22A02035" w14:textId="1575AFDC"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Er is nog een andere reden waarom het </w:t>
      </w:r>
      <w:r w:rsidR="0062303B">
        <w:rPr>
          <w:rFonts w:ascii="Trebuchet MS" w:eastAsia="HGMinchoB" w:hAnsi="Trebuchet MS" w:cs="Arial"/>
          <w:sz w:val="20"/>
        </w:rPr>
        <w:t>SWV</w:t>
      </w:r>
      <w:r w:rsidRPr="001A4002">
        <w:rPr>
          <w:rFonts w:ascii="Trebuchet MS" w:eastAsia="HGMinchoB" w:hAnsi="Trebuchet MS" w:cs="Arial"/>
          <w:sz w:val="20"/>
        </w:rPr>
        <w:t xml:space="preserve"> op dit punt persoonsgegevens dient te verwerken. Het </w:t>
      </w:r>
      <w:r w:rsidR="0062303B">
        <w:rPr>
          <w:rFonts w:ascii="Trebuchet MS" w:eastAsia="HGMinchoB" w:hAnsi="Trebuchet MS" w:cs="Arial"/>
          <w:sz w:val="20"/>
        </w:rPr>
        <w:t>SWV</w:t>
      </w:r>
      <w:r w:rsidRPr="001A4002">
        <w:rPr>
          <w:rFonts w:ascii="Trebuchet MS" w:eastAsia="HGMinchoB" w:hAnsi="Trebuchet MS" w:cs="Arial"/>
          <w:sz w:val="20"/>
        </w:rPr>
        <w:t xml:space="preserve"> dient te zorgen voor een dekkend aanbod van ondersteuningsvoorzieningen en beleid te ontwikkelen om thuiszitters tegen te gaan. Dit veronderstelt dus een </w:t>
      </w:r>
      <w:proofErr w:type="spellStart"/>
      <w:r w:rsidRPr="001A4002">
        <w:rPr>
          <w:rFonts w:ascii="Trebuchet MS" w:eastAsia="HGMinchoB" w:hAnsi="Trebuchet MS" w:cs="Arial"/>
          <w:sz w:val="20"/>
        </w:rPr>
        <w:t>regie-rol</w:t>
      </w:r>
      <w:proofErr w:type="spellEnd"/>
      <w:r w:rsidRPr="001A4002">
        <w:rPr>
          <w:rFonts w:ascii="Trebuchet MS" w:eastAsia="HGMinchoB" w:hAnsi="Trebuchet MS" w:cs="Arial"/>
          <w:sz w:val="20"/>
        </w:rPr>
        <w:t xml:space="preserve"> op regio-niveau om niet alleen aantallen thuiszitters te registreren (</w:t>
      </w:r>
      <w:proofErr w:type="spellStart"/>
      <w:r w:rsidRPr="001A4002">
        <w:rPr>
          <w:rFonts w:ascii="Trebuchet MS" w:eastAsia="HGMinchoB" w:hAnsi="Trebuchet MS" w:cs="Arial"/>
          <w:sz w:val="20"/>
        </w:rPr>
        <w:t>tbv</w:t>
      </w:r>
      <w:proofErr w:type="spellEnd"/>
      <w:r w:rsidRPr="001A4002">
        <w:rPr>
          <w:rFonts w:ascii="Trebuchet MS" w:eastAsia="HGMinchoB" w:hAnsi="Trebuchet MS" w:cs="Arial"/>
          <w:sz w:val="20"/>
        </w:rPr>
        <w:t xml:space="preserve"> de Onderwijsinspectie) maar ook en vooral om actief zelf actie te kunnen ontwikkelen om samen met de scholen en de leerplicht het thuiszittersprobleem aan te pakken. In het licht van het landelijke Thuiszitterspact bezien gaat het dan niet alleen om het terugdringen van absolute aantallen maar ook om het terugdringen van de duur van het verzuim. Om die publiekrechtelijke taak te kunnen uitoefenen is het nodig om tussen </w:t>
      </w:r>
      <w:r w:rsidR="0062303B">
        <w:rPr>
          <w:rFonts w:ascii="Trebuchet MS" w:eastAsia="HGMinchoB" w:hAnsi="Trebuchet MS" w:cs="Arial"/>
          <w:sz w:val="20"/>
        </w:rPr>
        <w:t>SWV</w:t>
      </w:r>
      <w:r w:rsidRPr="001A4002">
        <w:rPr>
          <w:rFonts w:ascii="Trebuchet MS" w:eastAsia="HGMinchoB" w:hAnsi="Trebuchet MS" w:cs="Arial"/>
          <w:sz w:val="20"/>
        </w:rPr>
        <w:t>, school en leerplicht ‘namen en rugnummers’ uit te wisselen.</w:t>
      </w:r>
    </w:p>
    <w:p w14:paraId="7400677E" w14:textId="77777777" w:rsidR="001A4002" w:rsidRPr="001A4002" w:rsidRDefault="001A4002" w:rsidP="001A4002">
      <w:pPr>
        <w:spacing w:after="0" w:line="240" w:lineRule="auto"/>
        <w:rPr>
          <w:rFonts w:ascii="Trebuchet MS" w:eastAsia="HGMinchoB" w:hAnsi="Trebuchet MS" w:cs="Arial"/>
          <w:sz w:val="20"/>
        </w:rPr>
      </w:pPr>
    </w:p>
    <w:p w14:paraId="4E8F4F99" w14:textId="0F18FBF2"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Tussen school en </w:t>
      </w:r>
      <w:r w:rsidR="0062303B">
        <w:rPr>
          <w:rFonts w:ascii="Trebuchet MS" w:eastAsia="HGMinchoB" w:hAnsi="Trebuchet MS" w:cs="Arial"/>
          <w:sz w:val="20"/>
        </w:rPr>
        <w:t>SWV</w:t>
      </w:r>
      <w:r w:rsidRPr="001A4002">
        <w:rPr>
          <w:rFonts w:ascii="Trebuchet MS" w:eastAsia="HGMinchoB" w:hAnsi="Trebuchet MS" w:cs="Arial"/>
          <w:sz w:val="20"/>
        </w:rPr>
        <w:t xml:space="preserve"> is sprake van een wettelijke grondslag voor het uitwisselen van persoonsgegevens met betrekking tot:</w:t>
      </w:r>
    </w:p>
    <w:p w14:paraId="6AED801D" w14:textId="77777777" w:rsidR="001A4002" w:rsidRPr="001A4002" w:rsidRDefault="001A4002" w:rsidP="001A4002">
      <w:pPr>
        <w:numPr>
          <w:ilvl w:val="0"/>
          <w:numId w:val="1"/>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Het afgeven van een toelaatbaarheidsverklaring;</w:t>
      </w:r>
    </w:p>
    <w:p w14:paraId="3458C914" w14:textId="77777777" w:rsidR="001A4002" w:rsidRPr="001A4002" w:rsidRDefault="001A4002" w:rsidP="001A4002">
      <w:pPr>
        <w:numPr>
          <w:ilvl w:val="0"/>
          <w:numId w:val="1"/>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Het verstrekken van een arrangement op aanvraag van de school;</w:t>
      </w:r>
    </w:p>
    <w:p w14:paraId="4D26D783" w14:textId="77777777" w:rsidR="001A4002" w:rsidRPr="001A4002" w:rsidRDefault="001A4002" w:rsidP="001A4002">
      <w:pPr>
        <w:numPr>
          <w:ilvl w:val="0"/>
          <w:numId w:val="1"/>
        </w:numPr>
        <w:spacing w:after="0" w:line="240" w:lineRule="auto"/>
        <w:contextualSpacing/>
        <w:rPr>
          <w:rFonts w:ascii="Trebuchet MS" w:eastAsia="HGMinchoB" w:hAnsi="Trebuchet MS" w:cs="Arial"/>
          <w:sz w:val="20"/>
        </w:rPr>
      </w:pPr>
      <w:r w:rsidRPr="001A4002">
        <w:rPr>
          <w:rFonts w:ascii="Trebuchet MS" w:eastAsia="HGMinchoB" w:hAnsi="Trebuchet MS" w:cs="Arial"/>
          <w:sz w:val="20"/>
        </w:rPr>
        <w:t>Het geven van adviezen aan de school.</w:t>
      </w:r>
    </w:p>
    <w:p w14:paraId="66268EDC"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Nadrukkelijk heeft de wetgever hier gekozen voor een wettelijke grondslag omdat schoolbesturen de zorgplicht hebben ten aanzien van passend onderwijs (en toestemming ouders daarmee in strijd zou zijn omdat dit de school kan hinderen om tot een passend onderwijsaanbod te komen).</w:t>
      </w:r>
    </w:p>
    <w:p w14:paraId="704378B1"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Ook bij thuiszittende leerlingen kan het gaan om een van deze 3 bovenstaande situaties; als een leerling langdurig thuiszit en de school handelingsverlegen is met een leerling kan een ander arrangement (waaronder een speciale school) aan de orde zijn.</w:t>
      </w:r>
    </w:p>
    <w:p w14:paraId="677A1848" w14:textId="77777777" w:rsidR="001A4002" w:rsidRPr="001A4002" w:rsidRDefault="001A4002" w:rsidP="001A4002">
      <w:pPr>
        <w:spacing w:after="0" w:line="240" w:lineRule="auto"/>
        <w:rPr>
          <w:rFonts w:ascii="Trebuchet MS" w:eastAsia="HGMinchoB" w:hAnsi="Trebuchet MS" w:cs="Arial"/>
          <w:sz w:val="20"/>
        </w:rPr>
      </w:pPr>
    </w:p>
    <w:p w14:paraId="52027745" w14:textId="77777777"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Grondslag voor verwerken persoonsgegevens: AVG</w:t>
      </w:r>
    </w:p>
    <w:p w14:paraId="43A6683C"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lastRenderedPageBreak/>
        <w:t>De AVG noemt meerdere grondslagen voor het verwerken van (gevoelige) persoonsgegevens:</w:t>
      </w:r>
    </w:p>
    <w:p w14:paraId="61F99B4A" w14:textId="544C8DC6" w:rsidR="001A4002" w:rsidRPr="00D9324B" w:rsidRDefault="001A4002" w:rsidP="00D9324B">
      <w:pPr>
        <w:pStyle w:val="Lijstalinea"/>
        <w:numPr>
          <w:ilvl w:val="0"/>
          <w:numId w:val="5"/>
        </w:numPr>
        <w:spacing w:after="0" w:line="240" w:lineRule="auto"/>
        <w:rPr>
          <w:rFonts w:ascii="Trebuchet MS" w:eastAsia="HGMinchoB" w:hAnsi="Trebuchet MS" w:cs="Arial"/>
          <w:sz w:val="20"/>
        </w:rPr>
      </w:pPr>
      <w:r w:rsidRPr="00D9324B">
        <w:rPr>
          <w:rFonts w:ascii="Trebuchet MS" w:eastAsia="HGMinchoB" w:hAnsi="Trebuchet MS" w:cs="Arial"/>
          <w:sz w:val="20"/>
        </w:rPr>
        <w:t>wettelijke plicht</w:t>
      </w:r>
    </w:p>
    <w:p w14:paraId="3FC74963" w14:textId="77777777" w:rsidR="001A4002" w:rsidRPr="00D9324B" w:rsidRDefault="001A4002" w:rsidP="00D9324B">
      <w:pPr>
        <w:pStyle w:val="Lijstalinea"/>
        <w:numPr>
          <w:ilvl w:val="0"/>
          <w:numId w:val="5"/>
        </w:numPr>
        <w:spacing w:after="0" w:line="240" w:lineRule="auto"/>
        <w:rPr>
          <w:rFonts w:ascii="Trebuchet MS" w:eastAsia="HGMinchoB" w:hAnsi="Trebuchet MS" w:cs="Arial"/>
          <w:sz w:val="20"/>
        </w:rPr>
      </w:pPr>
      <w:r w:rsidRPr="00D9324B">
        <w:rPr>
          <w:rFonts w:ascii="Trebuchet MS" w:eastAsia="HGMinchoB" w:hAnsi="Trebuchet MS" w:cs="Arial"/>
          <w:sz w:val="20"/>
        </w:rPr>
        <w:t>-goede vervulling publiekrechtelijke taak</w:t>
      </w:r>
    </w:p>
    <w:p w14:paraId="5B573D32" w14:textId="77777777" w:rsidR="001A4002" w:rsidRPr="00D9324B" w:rsidRDefault="001A4002" w:rsidP="00D9324B">
      <w:pPr>
        <w:pStyle w:val="Lijstalinea"/>
        <w:numPr>
          <w:ilvl w:val="0"/>
          <w:numId w:val="5"/>
        </w:numPr>
        <w:spacing w:after="0" w:line="240" w:lineRule="auto"/>
        <w:rPr>
          <w:rFonts w:ascii="Trebuchet MS" w:eastAsia="HGMinchoB" w:hAnsi="Trebuchet MS" w:cs="Arial"/>
          <w:sz w:val="20"/>
        </w:rPr>
      </w:pPr>
      <w:r w:rsidRPr="00D9324B">
        <w:rPr>
          <w:rFonts w:ascii="Trebuchet MS" w:eastAsia="HGMinchoB" w:hAnsi="Trebuchet MS" w:cs="Arial"/>
          <w:sz w:val="20"/>
        </w:rPr>
        <w:t>-gerechtvaardigd belang school of derde</w:t>
      </w:r>
    </w:p>
    <w:p w14:paraId="3CD38606" w14:textId="77777777" w:rsidR="001A4002" w:rsidRPr="00D9324B" w:rsidRDefault="001A4002" w:rsidP="00D9324B">
      <w:pPr>
        <w:pStyle w:val="Lijstalinea"/>
        <w:numPr>
          <w:ilvl w:val="0"/>
          <w:numId w:val="5"/>
        </w:numPr>
        <w:spacing w:after="0" w:line="240" w:lineRule="auto"/>
        <w:rPr>
          <w:rFonts w:ascii="Trebuchet MS" w:eastAsia="HGMinchoB" w:hAnsi="Trebuchet MS" w:cs="Arial"/>
          <w:sz w:val="20"/>
        </w:rPr>
      </w:pPr>
      <w:r w:rsidRPr="00D9324B">
        <w:rPr>
          <w:rFonts w:ascii="Trebuchet MS" w:eastAsia="HGMinchoB" w:hAnsi="Trebuchet MS" w:cs="Arial"/>
          <w:sz w:val="20"/>
        </w:rPr>
        <w:t>-vitaal belang betrokkene</w:t>
      </w:r>
    </w:p>
    <w:p w14:paraId="19C96C5F" w14:textId="77777777" w:rsidR="001A4002" w:rsidRPr="00D9324B" w:rsidRDefault="001A4002" w:rsidP="00D9324B">
      <w:pPr>
        <w:pStyle w:val="Lijstalinea"/>
        <w:numPr>
          <w:ilvl w:val="0"/>
          <w:numId w:val="5"/>
        </w:numPr>
        <w:spacing w:after="0" w:line="240" w:lineRule="auto"/>
        <w:rPr>
          <w:rFonts w:ascii="Trebuchet MS" w:eastAsia="HGMinchoB" w:hAnsi="Trebuchet MS" w:cs="Arial"/>
          <w:sz w:val="20"/>
        </w:rPr>
      </w:pPr>
      <w:r w:rsidRPr="00D9324B">
        <w:rPr>
          <w:rFonts w:ascii="Trebuchet MS" w:eastAsia="HGMinchoB" w:hAnsi="Trebuchet MS" w:cs="Arial"/>
          <w:sz w:val="20"/>
        </w:rPr>
        <w:t>-ondubbelzinnige toestemming van de betrokkene.</w:t>
      </w:r>
    </w:p>
    <w:p w14:paraId="5F4F4A55" w14:textId="77777777" w:rsidR="001A4002" w:rsidRPr="001A4002" w:rsidRDefault="001A4002" w:rsidP="001A4002">
      <w:pPr>
        <w:spacing w:after="0" w:line="240" w:lineRule="auto"/>
        <w:rPr>
          <w:rFonts w:ascii="Trebuchet MS" w:eastAsia="HGMinchoB" w:hAnsi="Trebuchet MS" w:cs="Arial"/>
          <w:sz w:val="20"/>
        </w:rPr>
      </w:pPr>
    </w:p>
    <w:p w14:paraId="7FE38634" w14:textId="3082C3EE"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Als er geen wettelijke grondslag aanwezig is, kan gegevensuitwisseling nog wel nodig zijn omdat anders een publiekrechtelijke taak niet goed te vervullen is. Dit is bijvoorbeeld aan de orde als de Onderwijsinspectie van het </w:t>
      </w:r>
      <w:r w:rsidR="0062303B">
        <w:rPr>
          <w:rFonts w:ascii="Trebuchet MS" w:eastAsia="HGMinchoB" w:hAnsi="Trebuchet MS" w:cs="Arial"/>
          <w:sz w:val="20"/>
        </w:rPr>
        <w:t>SWV</w:t>
      </w:r>
      <w:r w:rsidRPr="001A4002">
        <w:rPr>
          <w:rFonts w:ascii="Trebuchet MS" w:eastAsia="HGMinchoB" w:hAnsi="Trebuchet MS" w:cs="Arial"/>
          <w:sz w:val="20"/>
        </w:rPr>
        <w:t xml:space="preserve"> wil weten hoe het met de aantallen absoluut en relatief verzuim gesteld is en daar periodiek onderzoek naar doet. Om die taak te verrichten heeft het </w:t>
      </w:r>
      <w:r w:rsidR="0062303B">
        <w:rPr>
          <w:rFonts w:ascii="Trebuchet MS" w:eastAsia="HGMinchoB" w:hAnsi="Trebuchet MS" w:cs="Arial"/>
          <w:sz w:val="20"/>
        </w:rPr>
        <w:t>SWV</w:t>
      </w:r>
      <w:r w:rsidRPr="001A4002">
        <w:rPr>
          <w:rFonts w:ascii="Trebuchet MS" w:eastAsia="HGMinchoB" w:hAnsi="Trebuchet MS" w:cs="Arial"/>
          <w:sz w:val="20"/>
        </w:rPr>
        <w:t xml:space="preserve"> gegevens nodig van de aangesloten scholen en van de betrokken leerplichtambtenaren hoewel dit expliciet nergens zo in de wet staat. Het </w:t>
      </w:r>
      <w:r w:rsidR="0062303B">
        <w:rPr>
          <w:rFonts w:ascii="Trebuchet MS" w:eastAsia="HGMinchoB" w:hAnsi="Trebuchet MS" w:cs="Arial"/>
          <w:sz w:val="20"/>
        </w:rPr>
        <w:t>SWV</w:t>
      </w:r>
      <w:r w:rsidRPr="001A4002">
        <w:rPr>
          <w:rFonts w:ascii="Trebuchet MS" w:eastAsia="HGMinchoB" w:hAnsi="Trebuchet MS" w:cs="Arial"/>
          <w:sz w:val="20"/>
        </w:rPr>
        <w:t xml:space="preserve"> moet wel altijd kunnen aantonen volgens de AVG voor welke doel persoonsgegevens worden bewerkt en of het noodzakelijk is om deze gegevens te verwerken (doelbinding, noodzakelijkheidsvereiste, dataminimalisatie).</w:t>
      </w:r>
    </w:p>
    <w:p w14:paraId="56A0653C" w14:textId="77777777" w:rsidR="001A4002" w:rsidRPr="001A4002" w:rsidRDefault="001A4002" w:rsidP="001A4002">
      <w:pPr>
        <w:spacing w:after="0" w:line="240" w:lineRule="auto"/>
        <w:rPr>
          <w:rFonts w:ascii="Trebuchet MS" w:eastAsia="HGMinchoB" w:hAnsi="Trebuchet MS" w:cs="Arial"/>
          <w:sz w:val="20"/>
        </w:rPr>
      </w:pPr>
    </w:p>
    <w:p w14:paraId="6258A1CF"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Ook het vitale belang van betrokkene (de jongere) kan worden genoemd als grondslag om bijvoorbeeld in multidisciplinair overleg (met jeugdhulpverlening, wijkteams) tot uitwisseling van gegevens over thuiszitters te komen. Het is immers voor leerplichtige jongeren cruciaal voor hun toekomst dat zij de school bezoeken, daar onderwijs ontvangen, zich ontwikkelen zodat zij later een plek in de samenleving kunnen innemen, passend bij hun onmogelijkheden. Uit onderzoek is bekend wat langdurig thuiszitten kan veroorzaken aan maatschappelijke problemen (rondhangen, verkeerde vrienden, alcohol- en drugsverslaving, criminaliteit, vereenzaming, sociaal isolement etc.). </w:t>
      </w:r>
    </w:p>
    <w:p w14:paraId="7D447B6E" w14:textId="77777777" w:rsidR="001A4002" w:rsidRPr="001A4002" w:rsidRDefault="001A4002" w:rsidP="001A4002">
      <w:pPr>
        <w:spacing w:after="0" w:line="240" w:lineRule="auto"/>
        <w:rPr>
          <w:rFonts w:ascii="Trebuchet MS" w:eastAsia="HGMinchoB" w:hAnsi="Trebuchet MS" w:cs="Arial"/>
          <w:sz w:val="20"/>
        </w:rPr>
      </w:pPr>
    </w:p>
    <w:p w14:paraId="4740271E"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Het bovenstaande laat onverlet dat het altijd gewenst is om (als er geen wettelijke grondslag aanwezig is voor het delen van persoonsgegevens) toestemming van ouders te vragen of (nog liever) het delen van informatie in aanwezigheid met ouders te doen. Indien dit echter niet lukt, is het goed te weten dat de AVG meerdere grondslagen heeft om persoonsgegevens uit te wisselen en te bewerken. </w:t>
      </w:r>
    </w:p>
    <w:p w14:paraId="6A92FC9F" w14:textId="44A82561"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Het samenwerkingsverband c</w:t>
      </w:r>
      <w:r w:rsidR="00821FCF">
        <w:rPr>
          <w:rFonts w:ascii="Trebuchet MS" w:eastAsia="HGMinchoB" w:hAnsi="Trebuchet MS" w:cs="Arial"/>
          <w:sz w:val="20"/>
        </w:rPr>
        <w:t>.</w:t>
      </w:r>
      <w:r w:rsidRPr="001A4002">
        <w:rPr>
          <w:rFonts w:ascii="Trebuchet MS" w:eastAsia="HGMinchoB" w:hAnsi="Trebuchet MS" w:cs="Arial"/>
          <w:sz w:val="20"/>
        </w:rPr>
        <w:t>q</w:t>
      </w:r>
      <w:r w:rsidR="00821FCF">
        <w:rPr>
          <w:rFonts w:ascii="Trebuchet MS" w:eastAsia="HGMinchoB" w:hAnsi="Trebuchet MS" w:cs="Arial"/>
          <w:sz w:val="20"/>
        </w:rPr>
        <w:t>.</w:t>
      </w:r>
      <w:r w:rsidRPr="001A4002">
        <w:rPr>
          <w:rFonts w:ascii="Trebuchet MS" w:eastAsia="HGMinchoB" w:hAnsi="Trebuchet MS" w:cs="Arial"/>
          <w:sz w:val="20"/>
        </w:rPr>
        <w:t xml:space="preserve"> de school of leerplicht dient onder de AVG altijd te kunnen aantonen welke grondslag aan de orde is en dit goed te kunnen onderbouwen.</w:t>
      </w:r>
    </w:p>
    <w:p w14:paraId="23F2625E" w14:textId="77777777" w:rsidR="001A4002" w:rsidRPr="001A4002" w:rsidRDefault="001A4002" w:rsidP="001A4002">
      <w:pPr>
        <w:spacing w:after="0" w:line="240" w:lineRule="auto"/>
        <w:rPr>
          <w:rFonts w:ascii="Trebuchet MS" w:eastAsia="HGMinchoB" w:hAnsi="Trebuchet MS" w:cs="Arial"/>
          <w:sz w:val="20"/>
        </w:rPr>
      </w:pPr>
    </w:p>
    <w:p w14:paraId="24B46B45" w14:textId="77777777"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Komende ontwikkelingen</w:t>
      </w:r>
    </w:p>
    <w:p w14:paraId="3883F59B"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Schoolbesturen registreren geoorloofd en ongeoorloofd verzuim bij </w:t>
      </w:r>
      <w:r w:rsidRPr="00821FCF">
        <w:rPr>
          <w:rFonts w:ascii="Trebuchet MS" w:eastAsia="HGMinchoB" w:hAnsi="Trebuchet MS" w:cs="Arial"/>
          <w:bCs/>
          <w:sz w:val="20"/>
        </w:rPr>
        <w:t>DUO</w:t>
      </w:r>
      <w:r w:rsidRPr="001A4002">
        <w:rPr>
          <w:rFonts w:ascii="Trebuchet MS" w:eastAsia="HGMinchoB" w:hAnsi="Trebuchet MS" w:cs="Arial"/>
          <w:sz w:val="20"/>
        </w:rPr>
        <w:t>. Het Ministerie wil het mogelijk maken dat samenwerkingsverbanden rechtstreeks bij DUO kunnen inloggen om voor de eigen regio de leerlingen in beeld te krijgen die verzuimen bij de aangesloten scholen. Op die manier wordt bewerkstelligd dat er een effectieve monitor kan komen op regio-niveau zonder discussie over aantallen zoals nu nog vaak het geval is. In meerdere situaties blijken leerplicht, schoolbesturen en samenwerkingsverband over andere registraties te beschikken ten aanzien van thuiszitters die niet kloppend te maken zijn. Het is daarom gewenst dat alle relevante actoren kunnen afgeven op 1 landelijk registratiesysteem dat een actueel inzicht geeft in de thuiszitters-aantallen.</w:t>
      </w:r>
    </w:p>
    <w:p w14:paraId="39721659"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Het Regeerakkoord benoemt dat er een wettelijke doorzettingsmacht moet komen voor samenwerkingsverbanden passend onderwijs. Hoewel er nog geen concreet wetsvoorstel ligt op dit punt sluit dit aan bij het inzicht in deze notitie dat samenwerkingsverbanden steeds meer worden aangesproken op hun verantwoordelijkheid om een passende plek te bieden voor elke leerling, en thuiszitters actief tegen te gaan en zo nodig oplossingen te forceren in het belang van de leerling.</w:t>
      </w:r>
    </w:p>
    <w:p w14:paraId="68D02268" w14:textId="4A37EA12"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Het behoeft geen betoog dat het uitwisselen van persoonsgegevens hiervoor noodzaak is om in concrete situaties te kunnen handelen; niet alleen tussen </w:t>
      </w:r>
      <w:r w:rsidR="0062303B">
        <w:rPr>
          <w:rFonts w:ascii="Trebuchet MS" w:eastAsia="HGMinchoB" w:hAnsi="Trebuchet MS" w:cs="Arial"/>
          <w:sz w:val="20"/>
        </w:rPr>
        <w:t>SWV</w:t>
      </w:r>
      <w:r w:rsidRPr="001A4002">
        <w:rPr>
          <w:rFonts w:ascii="Trebuchet MS" w:eastAsia="HGMinchoB" w:hAnsi="Trebuchet MS" w:cs="Arial"/>
          <w:sz w:val="20"/>
        </w:rPr>
        <w:t xml:space="preserve"> en school, maar ook in het overleg met leerplicht en jeugdhulpverlening.</w:t>
      </w:r>
    </w:p>
    <w:p w14:paraId="13C4D3F7" w14:textId="77777777" w:rsidR="001A4002" w:rsidRPr="001A4002" w:rsidRDefault="001A4002" w:rsidP="001A4002">
      <w:pPr>
        <w:spacing w:after="0" w:line="240" w:lineRule="auto"/>
        <w:rPr>
          <w:rFonts w:ascii="Trebuchet MS" w:eastAsia="HGMinchoB" w:hAnsi="Trebuchet MS" w:cs="Arial"/>
          <w:sz w:val="20"/>
        </w:rPr>
      </w:pPr>
    </w:p>
    <w:p w14:paraId="01045897" w14:textId="77777777" w:rsidR="001A4002" w:rsidRPr="001A4002" w:rsidRDefault="001A4002" w:rsidP="001A4002">
      <w:pPr>
        <w:spacing w:after="0" w:line="240" w:lineRule="auto"/>
        <w:rPr>
          <w:rFonts w:ascii="Trebuchet MS" w:eastAsia="HGMinchoB" w:hAnsi="Trebuchet MS" w:cs="Arial"/>
          <w:b/>
          <w:sz w:val="20"/>
        </w:rPr>
      </w:pPr>
      <w:r w:rsidRPr="001A4002">
        <w:rPr>
          <w:rFonts w:ascii="Trebuchet MS" w:eastAsia="HGMinchoB" w:hAnsi="Trebuchet MS" w:cs="Arial"/>
          <w:b/>
          <w:sz w:val="20"/>
        </w:rPr>
        <w:t>Conclusie</w:t>
      </w:r>
    </w:p>
    <w:p w14:paraId="1EC752A1"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De </w:t>
      </w:r>
      <w:r w:rsidRPr="001A4002">
        <w:rPr>
          <w:rFonts w:ascii="Trebuchet MS" w:eastAsia="HGMinchoB" w:hAnsi="Trebuchet MS" w:cs="Arial"/>
          <w:b/>
          <w:sz w:val="20"/>
        </w:rPr>
        <w:t xml:space="preserve">school </w:t>
      </w:r>
      <w:r w:rsidRPr="001A4002">
        <w:rPr>
          <w:rFonts w:ascii="Trebuchet MS" w:eastAsia="HGMinchoB" w:hAnsi="Trebuchet MS" w:cs="Arial"/>
          <w:sz w:val="20"/>
        </w:rPr>
        <w:t>heeft de wettelijke plicht om leerplicht te informeren over relatief verzuim en persoonsgegevens hierover (met BSN) uit te wisselen.</w:t>
      </w:r>
    </w:p>
    <w:p w14:paraId="5FB99FB0" w14:textId="7777777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b/>
          <w:sz w:val="20"/>
        </w:rPr>
        <w:t>Leerplicht</w:t>
      </w:r>
      <w:r w:rsidRPr="001A4002">
        <w:rPr>
          <w:rFonts w:ascii="Trebuchet MS" w:eastAsia="HGMinchoB" w:hAnsi="Trebuchet MS" w:cs="Arial"/>
          <w:sz w:val="20"/>
        </w:rPr>
        <w:t xml:space="preserve"> heeft de mogelijkheid om persoonsgegevens over thuiszitters te delen met school en/of samenwerkingsverband omdat zij voor de vervulling van hun taak overleg nodig hebben met school en/of samenwerkingsverband (functionele noodzaak). De instructie van B en W voor de leerplichtambtenaar biedt daartoe de grondslag.</w:t>
      </w:r>
    </w:p>
    <w:p w14:paraId="6F3006ED" w14:textId="34E8850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lastRenderedPageBreak/>
        <w:t xml:space="preserve">Het </w:t>
      </w:r>
      <w:r w:rsidRPr="001A4002">
        <w:rPr>
          <w:rFonts w:ascii="Trebuchet MS" w:eastAsia="HGMinchoB" w:hAnsi="Trebuchet MS" w:cs="Arial"/>
          <w:b/>
          <w:sz w:val="20"/>
        </w:rPr>
        <w:t>samenwerkingsverband</w:t>
      </w:r>
      <w:r w:rsidRPr="001A4002">
        <w:rPr>
          <w:rFonts w:ascii="Trebuchet MS" w:eastAsia="HGMinchoB" w:hAnsi="Trebuchet MS" w:cs="Arial"/>
          <w:sz w:val="20"/>
        </w:rPr>
        <w:t xml:space="preserve"> heeft de wettelijke plicht om de Onderwijsinspectie de aantallen absoluut en relatief verzuim te verstreken (dus geen persoonsgegevens). Het </w:t>
      </w:r>
      <w:r w:rsidR="0062303B">
        <w:rPr>
          <w:rFonts w:ascii="Trebuchet MS" w:eastAsia="HGMinchoB" w:hAnsi="Trebuchet MS" w:cs="Arial"/>
          <w:sz w:val="20"/>
        </w:rPr>
        <w:t>SWV</w:t>
      </w:r>
      <w:r w:rsidRPr="001A4002">
        <w:rPr>
          <w:rFonts w:ascii="Trebuchet MS" w:eastAsia="HGMinchoB" w:hAnsi="Trebuchet MS" w:cs="Arial"/>
          <w:sz w:val="20"/>
        </w:rPr>
        <w:t xml:space="preserve"> is gerechtigd om persoonsgegevens van absoluut en relatief verzuim op te vragen bij de aangesloten scholen en betrokken leerplichtambtenaren; dit vloeit voort uit de wettelijke taak van het </w:t>
      </w:r>
      <w:r w:rsidR="0062303B">
        <w:rPr>
          <w:rFonts w:ascii="Trebuchet MS" w:eastAsia="HGMinchoB" w:hAnsi="Trebuchet MS" w:cs="Arial"/>
          <w:sz w:val="20"/>
        </w:rPr>
        <w:t>SWV</w:t>
      </w:r>
      <w:r w:rsidRPr="001A4002">
        <w:rPr>
          <w:rFonts w:ascii="Trebuchet MS" w:eastAsia="HGMinchoB" w:hAnsi="Trebuchet MS" w:cs="Arial"/>
          <w:sz w:val="20"/>
        </w:rPr>
        <w:t>, en uit de wettelijke verplichting om de Onderwijsinspectie te informeren).</w:t>
      </w:r>
    </w:p>
    <w:p w14:paraId="2086AE7B" w14:textId="6B252947" w:rsidR="001A4002" w:rsidRPr="001A4002" w:rsidRDefault="001A4002" w:rsidP="001A4002">
      <w:pPr>
        <w:spacing w:after="0" w:line="240" w:lineRule="auto"/>
        <w:rPr>
          <w:rFonts w:ascii="Trebuchet MS" w:eastAsia="HGMinchoB" w:hAnsi="Trebuchet MS" w:cs="Arial"/>
          <w:sz w:val="20"/>
        </w:rPr>
      </w:pPr>
      <w:r w:rsidRPr="001A4002">
        <w:rPr>
          <w:rFonts w:ascii="Trebuchet MS" w:eastAsia="HGMinchoB" w:hAnsi="Trebuchet MS" w:cs="Arial"/>
          <w:sz w:val="20"/>
        </w:rPr>
        <w:t xml:space="preserve">De </w:t>
      </w:r>
      <w:r w:rsidRPr="001A4002">
        <w:rPr>
          <w:rFonts w:ascii="Trebuchet MS" w:eastAsia="HGMinchoB" w:hAnsi="Trebuchet MS" w:cs="Arial"/>
          <w:b/>
          <w:sz w:val="20"/>
        </w:rPr>
        <w:t>school</w:t>
      </w:r>
      <w:r w:rsidRPr="001A4002">
        <w:rPr>
          <w:rFonts w:ascii="Trebuchet MS" w:eastAsia="HGMinchoB" w:hAnsi="Trebuchet MS" w:cs="Arial"/>
          <w:sz w:val="20"/>
        </w:rPr>
        <w:t xml:space="preserve"> heeft een wettelijke grondslag om bepaalde </w:t>
      </w:r>
      <w:proofErr w:type="spellStart"/>
      <w:r w:rsidRPr="001A4002">
        <w:rPr>
          <w:rFonts w:ascii="Trebuchet MS" w:eastAsia="HGMinchoB" w:hAnsi="Trebuchet MS" w:cs="Arial"/>
          <w:sz w:val="20"/>
        </w:rPr>
        <w:t>leerlinggegevens</w:t>
      </w:r>
      <w:proofErr w:type="spellEnd"/>
      <w:r w:rsidRPr="001A4002">
        <w:rPr>
          <w:rFonts w:ascii="Trebuchet MS" w:eastAsia="HGMinchoB" w:hAnsi="Trebuchet MS" w:cs="Arial"/>
          <w:sz w:val="20"/>
        </w:rPr>
        <w:t xml:space="preserve"> te verstrekken aan het </w:t>
      </w:r>
      <w:r w:rsidR="0062303B">
        <w:rPr>
          <w:rFonts w:ascii="Trebuchet MS" w:eastAsia="HGMinchoB" w:hAnsi="Trebuchet MS" w:cs="Arial"/>
          <w:sz w:val="20"/>
        </w:rPr>
        <w:t>SWV</w:t>
      </w:r>
      <w:r w:rsidRPr="001A4002">
        <w:rPr>
          <w:rFonts w:ascii="Trebuchet MS" w:eastAsia="HGMinchoB" w:hAnsi="Trebuchet MS" w:cs="Arial"/>
          <w:sz w:val="20"/>
        </w:rPr>
        <w:t xml:space="preserve"> voor een tlv, een arrangement of een benodigd advies; dit sluit ook situaties in met betrekking tot thuiszittende leerlingen. </w:t>
      </w:r>
    </w:p>
    <w:p w14:paraId="69E06C3D" w14:textId="77777777" w:rsidR="001A4002" w:rsidRPr="001A4002" w:rsidRDefault="001A4002" w:rsidP="001A4002">
      <w:pPr>
        <w:spacing w:after="0" w:line="240" w:lineRule="auto"/>
        <w:rPr>
          <w:rFonts w:ascii="Trebuchet MS" w:eastAsia="HGMinchoB" w:hAnsi="Trebuchet MS" w:cs="Arial"/>
          <w:sz w:val="20"/>
        </w:rPr>
      </w:pPr>
    </w:p>
    <w:p w14:paraId="61A54BE8" w14:textId="77777777" w:rsidR="00BD68F2" w:rsidRDefault="00BD68F2"/>
    <w:sectPr w:rsidR="00BD68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09CA" w14:textId="77777777" w:rsidR="00166BCA" w:rsidRDefault="00166BCA" w:rsidP="00853172">
      <w:pPr>
        <w:spacing w:after="0" w:line="240" w:lineRule="auto"/>
      </w:pPr>
      <w:r>
        <w:separator/>
      </w:r>
    </w:p>
  </w:endnote>
  <w:endnote w:type="continuationSeparator" w:id="0">
    <w:p w14:paraId="5065E62E" w14:textId="77777777" w:rsidR="00166BCA" w:rsidRDefault="00166BCA" w:rsidP="0085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85492"/>
      <w:docPartObj>
        <w:docPartGallery w:val="Page Numbers (Bottom of Page)"/>
        <w:docPartUnique/>
      </w:docPartObj>
    </w:sdtPr>
    <w:sdtContent>
      <w:p w14:paraId="2DC0BA0F" w14:textId="277B383D" w:rsidR="00853172" w:rsidRDefault="00853172">
        <w:pPr>
          <w:pStyle w:val="Voettekst"/>
          <w:jc w:val="right"/>
        </w:pPr>
        <w:r>
          <w:fldChar w:fldCharType="begin"/>
        </w:r>
        <w:r>
          <w:instrText>PAGE   \* MERGEFORMAT</w:instrText>
        </w:r>
        <w:r>
          <w:fldChar w:fldCharType="separate"/>
        </w:r>
        <w:r>
          <w:t>2</w:t>
        </w:r>
        <w:r>
          <w:fldChar w:fldCharType="end"/>
        </w:r>
      </w:p>
    </w:sdtContent>
  </w:sdt>
  <w:p w14:paraId="5A393F5E" w14:textId="77777777" w:rsidR="00853172" w:rsidRDefault="008531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1745" w14:textId="77777777" w:rsidR="00166BCA" w:rsidRDefault="00166BCA" w:rsidP="00853172">
      <w:pPr>
        <w:spacing w:after="0" w:line="240" w:lineRule="auto"/>
      </w:pPr>
      <w:r>
        <w:separator/>
      </w:r>
    </w:p>
  </w:footnote>
  <w:footnote w:type="continuationSeparator" w:id="0">
    <w:p w14:paraId="1346890F" w14:textId="77777777" w:rsidR="00166BCA" w:rsidRDefault="00166BCA" w:rsidP="00853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C03"/>
    <w:multiLevelType w:val="hybridMultilevel"/>
    <w:tmpl w:val="04B606F8"/>
    <w:lvl w:ilvl="0" w:tplc="E88CE0CA">
      <w:numFmt w:val="bullet"/>
      <w:lvlText w:val="-"/>
      <w:lvlJc w:val="left"/>
      <w:pPr>
        <w:ind w:left="720" w:hanging="360"/>
      </w:pPr>
      <w:rPr>
        <w:rFonts w:ascii="Trebuchet MS" w:eastAsia="HGMinchoB"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EB254C"/>
    <w:multiLevelType w:val="hybridMultilevel"/>
    <w:tmpl w:val="401E0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287B3F"/>
    <w:multiLevelType w:val="hybridMultilevel"/>
    <w:tmpl w:val="EDAC6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99712F"/>
    <w:multiLevelType w:val="hybridMultilevel"/>
    <w:tmpl w:val="A3D4A5BA"/>
    <w:lvl w:ilvl="0" w:tplc="5B289CC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C0D93"/>
    <w:multiLevelType w:val="hybridMultilevel"/>
    <w:tmpl w:val="2B909636"/>
    <w:lvl w:ilvl="0" w:tplc="E88CE0CA">
      <w:numFmt w:val="bullet"/>
      <w:lvlText w:val="-"/>
      <w:lvlJc w:val="left"/>
      <w:pPr>
        <w:ind w:left="720" w:hanging="360"/>
      </w:pPr>
      <w:rPr>
        <w:rFonts w:ascii="Trebuchet MS" w:eastAsia="HGMinchoB"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1441599">
    <w:abstractNumId w:val="3"/>
  </w:num>
  <w:num w:numId="2" w16cid:durableId="1350915980">
    <w:abstractNumId w:val="1"/>
  </w:num>
  <w:num w:numId="3" w16cid:durableId="1704553761">
    <w:abstractNumId w:val="2"/>
  </w:num>
  <w:num w:numId="4" w16cid:durableId="314532289">
    <w:abstractNumId w:val="4"/>
  </w:num>
  <w:num w:numId="5" w16cid:durableId="185742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02"/>
    <w:rsid w:val="00166BCA"/>
    <w:rsid w:val="0019406C"/>
    <w:rsid w:val="001A4002"/>
    <w:rsid w:val="0033135E"/>
    <w:rsid w:val="003626CF"/>
    <w:rsid w:val="00517CF5"/>
    <w:rsid w:val="005A10B3"/>
    <w:rsid w:val="0062303B"/>
    <w:rsid w:val="006A0613"/>
    <w:rsid w:val="007D1F21"/>
    <w:rsid w:val="00821FCF"/>
    <w:rsid w:val="00853172"/>
    <w:rsid w:val="00A92EC1"/>
    <w:rsid w:val="00BD68F2"/>
    <w:rsid w:val="00D9324B"/>
    <w:rsid w:val="00E06E3A"/>
    <w:rsid w:val="00EA3A17"/>
    <w:rsid w:val="00F47296"/>
    <w:rsid w:val="00FC7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A58C"/>
  <w15:chartTrackingRefBased/>
  <w15:docId w15:val="{27743A14-4329-4F2B-9D79-7E46208C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1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3172"/>
  </w:style>
  <w:style w:type="paragraph" w:styleId="Voettekst">
    <w:name w:val="footer"/>
    <w:basedOn w:val="Standaard"/>
    <w:link w:val="VoettekstChar"/>
    <w:uiPriority w:val="99"/>
    <w:unhideWhenUsed/>
    <w:rsid w:val="008531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3172"/>
  </w:style>
  <w:style w:type="paragraph" w:styleId="Lijstalinea">
    <w:name w:val="List Paragraph"/>
    <w:basedOn w:val="Standaard"/>
    <w:uiPriority w:val="34"/>
    <w:qFormat/>
    <w:rsid w:val="00517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1FB2D-5716-42AD-A4FB-CA0AE91AD30F}">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customXml/itemProps2.xml><?xml version="1.0" encoding="utf-8"?>
<ds:datastoreItem xmlns:ds="http://schemas.openxmlformats.org/officeDocument/2006/customXml" ds:itemID="{01B79C14-3063-46A0-B2BF-09D868C25F31}">
  <ds:schemaRefs>
    <ds:schemaRef ds:uri="http://schemas.microsoft.com/sharepoint/v3/contenttype/forms"/>
  </ds:schemaRefs>
</ds:datastoreItem>
</file>

<file path=customXml/itemProps3.xml><?xml version="1.0" encoding="utf-8"?>
<ds:datastoreItem xmlns:ds="http://schemas.openxmlformats.org/officeDocument/2006/customXml" ds:itemID="{818C000A-E8AC-4947-8962-4B62D02A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2032</Words>
  <Characters>11176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Erik de Graaf</cp:lastModifiedBy>
  <cp:revision>17</cp:revision>
  <dcterms:created xsi:type="dcterms:W3CDTF">2018-11-09T10:48:00Z</dcterms:created>
  <dcterms:modified xsi:type="dcterms:W3CDTF">2022-11-21T09:06:00Z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