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85C3A" w14:textId="2845351A" w:rsidR="00B4129A" w:rsidRPr="009D212F" w:rsidRDefault="00B4129A" w:rsidP="00E1268B">
      <w:pPr>
        <w:spacing w:after="0" w:line="240" w:lineRule="auto"/>
        <w:rPr>
          <w:rFonts w:ascii="Trebuchet MS" w:hAnsi="Trebuchet MS"/>
          <w:b/>
          <w:sz w:val="20"/>
          <w:szCs w:val="20"/>
        </w:rPr>
      </w:pPr>
    </w:p>
    <w:p w14:paraId="4A86E7C6" w14:textId="37030C66" w:rsidR="001B6DE4" w:rsidRDefault="00E1268B" w:rsidP="00997DD4">
      <w:pPr>
        <w:spacing w:after="0" w:line="240" w:lineRule="auto"/>
        <w:rPr>
          <w:rFonts w:ascii="Trebuchet MS" w:hAnsi="Trebuchet MS"/>
          <w:b/>
          <w:sz w:val="20"/>
          <w:szCs w:val="20"/>
        </w:rPr>
      </w:pPr>
      <w:r>
        <w:rPr>
          <w:rFonts w:ascii="Trebuchet MS" w:hAnsi="Trebuchet MS"/>
          <w:b/>
          <w:sz w:val="20"/>
          <w:szCs w:val="20"/>
        </w:rPr>
        <w:t>V</w:t>
      </w:r>
      <w:r w:rsidR="001B6DE4" w:rsidRPr="009D212F">
        <w:rPr>
          <w:rFonts w:ascii="Trebuchet MS" w:hAnsi="Trebuchet MS"/>
          <w:b/>
          <w:sz w:val="20"/>
          <w:szCs w:val="20"/>
        </w:rPr>
        <w:t xml:space="preserve">oorlichting VO scholen </w:t>
      </w:r>
      <w:proofErr w:type="spellStart"/>
      <w:r w:rsidR="001B6DE4" w:rsidRPr="009D212F">
        <w:rPr>
          <w:rFonts w:ascii="Trebuchet MS" w:hAnsi="Trebuchet MS"/>
          <w:b/>
          <w:sz w:val="20"/>
          <w:szCs w:val="20"/>
        </w:rPr>
        <w:t>mbt</w:t>
      </w:r>
      <w:proofErr w:type="spellEnd"/>
      <w:r w:rsidR="001B6DE4" w:rsidRPr="009D212F">
        <w:rPr>
          <w:rFonts w:ascii="Trebuchet MS" w:hAnsi="Trebuchet MS"/>
          <w:b/>
          <w:sz w:val="20"/>
          <w:szCs w:val="20"/>
        </w:rPr>
        <w:t xml:space="preserve"> bestuurlijke overeenkomst</w:t>
      </w:r>
      <w:r w:rsidR="00B95E77">
        <w:rPr>
          <w:rFonts w:ascii="Trebuchet MS" w:hAnsi="Trebuchet MS"/>
          <w:b/>
          <w:sz w:val="20"/>
          <w:szCs w:val="20"/>
        </w:rPr>
        <w:t xml:space="preserve"> VSV</w:t>
      </w:r>
    </w:p>
    <w:p w14:paraId="71DEDBE5" w14:textId="77777777" w:rsidR="00B95E77" w:rsidRPr="009D212F" w:rsidRDefault="00B95E77" w:rsidP="00997DD4">
      <w:pPr>
        <w:spacing w:after="0" w:line="240" w:lineRule="auto"/>
        <w:rPr>
          <w:rFonts w:ascii="Trebuchet MS" w:hAnsi="Trebuchet MS"/>
          <w:b/>
          <w:sz w:val="20"/>
          <w:szCs w:val="20"/>
        </w:rPr>
      </w:pPr>
    </w:p>
    <w:p w14:paraId="34767471" w14:textId="77777777" w:rsidR="00997DD4" w:rsidRPr="009D212F" w:rsidRDefault="004A7978" w:rsidP="00997DD4">
      <w:pPr>
        <w:spacing w:after="0" w:line="240" w:lineRule="auto"/>
        <w:rPr>
          <w:rFonts w:ascii="Trebuchet MS" w:hAnsi="Trebuchet MS"/>
          <w:sz w:val="20"/>
          <w:szCs w:val="20"/>
        </w:rPr>
      </w:pPr>
      <w:r w:rsidRPr="009D212F">
        <w:rPr>
          <w:rFonts w:ascii="Trebuchet MS" w:hAnsi="Trebuchet MS"/>
          <w:sz w:val="20"/>
          <w:szCs w:val="20"/>
        </w:rPr>
        <w:t>Het VSV convenant is geëxpireerd per 1-8-16. Er is een voortzettin</w:t>
      </w:r>
      <w:r w:rsidR="00F938B4" w:rsidRPr="009D212F">
        <w:rPr>
          <w:rFonts w:ascii="Trebuchet MS" w:hAnsi="Trebuchet MS"/>
          <w:sz w:val="20"/>
          <w:szCs w:val="20"/>
        </w:rPr>
        <w:t xml:space="preserve">g van de samenwerking m.b.t. de </w:t>
      </w:r>
      <w:r w:rsidR="00AC3AD3" w:rsidRPr="009D212F">
        <w:rPr>
          <w:rFonts w:ascii="Trebuchet MS" w:hAnsi="Trebuchet MS"/>
          <w:sz w:val="20"/>
          <w:szCs w:val="20"/>
        </w:rPr>
        <w:t xml:space="preserve">VSV aanpak in een </w:t>
      </w:r>
      <w:r w:rsidRPr="009D212F">
        <w:rPr>
          <w:rFonts w:ascii="Trebuchet MS" w:hAnsi="Trebuchet MS"/>
          <w:sz w:val="20"/>
          <w:szCs w:val="20"/>
        </w:rPr>
        <w:t xml:space="preserve">nieuwe bestuurlijke overeenkomst </w:t>
      </w:r>
      <w:r w:rsidR="00B542B1" w:rsidRPr="009D212F">
        <w:rPr>
          <w:rFonts w:ascii="Trebuchet MS" w:hAnsi="Trebuchet MS"/>
          <w:sz w:val="20"/>
          <w:szCs w:val="20"/>
        </w:rPr>
        <w:t xml:space="preserve">die </w:t>
      </w:r>
      <w:r w:rsidR="00AC3AD3" w:rsidRPr="009D212F">
        <w:rPr>
          <w:rFonts w:ascii="Trebuchet MS" w:hAnsi="Trebuchet MS"/>
          <w:sz w:val="20"/>
          <w:szCs w:val="20"/>
        </w:rPr>
        <w:t xml:space="preserve">per RMC regio </w:t>
      </w:r>
      <w:r w:rsidR="00B542B1" w:rsidRPr="009D212F">
        <w:rPr>
          <w:rFonts w:ascii="Trebuchet MS" w:hAnsi="Trebuchet MS"/>
          <w:sz w:val="20"/>
          <w:szCs w:val="20"/>
        </w:rPr>
        <w:t xml:space="preserve">is </w:t>
      </w:r>
      <w:r w:rsidR="00AC3AD3" w:rsidRPr="009D212F">
        <w:rPr>
          <w:rFonts w:ascii="Trebuchet MS" w:hAnsi="Trebuchet MS"/>
          <w:sz w:val="20"/>
          <w:szCs w:val="20"/>
        </w:rPr>
        <w:t>afgesloten (in de provincie Groningen zijn er 3 RMC regio’s) voor de komende vier jaren. De drie bestuurlijke overeenkomsten vertonen veel gelijkenis</w:t>
      </w:r>
      <w:r w:rsidR="00837A31" w:rsidRPr="009D212F">
        <w:rPr>
          <w:rFonts w:ascii="Trebuchet MS" w:hAnsi="Trebuchet MS"/>
          <w:sz w:val="20"/>
          <w:szCs w:val="20"/>
        </w:rPr>
        <w:t>. E</w:t>
      </w:r>
      <w:r w:rsidR="00AC3AD3" w:rsidRPr="009D212F">
        <w:rPr>
          <w:rFonts w:ascii="Trebuchet MS" w:hAnsi="Trebuchet MS"/>
          <w:sz w:val="20"/>
          <w:szCs w:val="20"/>
        </w:rPr>
        <w:t xml:space="preserve">r </w:t>
      </w:r>
      <w:r w:rsidR="00837A31" w:rsidRPr="009D212F">
        <w:rPr>
          <w:rFonts w:ascii="Trebuchet MS" w:hAnsi="Trebuchet MS"/>
          <w:sz w:val="20"/>
          <w:szCs w:val="20"/>
        </w:rPr>
        <w:t xml:space="preserve">is </w:t>
      </w:r>
      <w:r w:rsidR="00B542B1" w:rsidRPr="009D212F">
        <w:rPr>
          <w:rFonts w:ascii="Trebuchet MS" w:hAnsi="Trebuchet MS"/>
          <w:sz w:val="20"/>
          <w:szCs w:val="20"/>
        </w:rPr>
        <w:t>weliswaar</w:t>
      </w:r>
      <w:r w:rsidR="00AC3AD3" w:rsidRPr="009D212F">
        <w:rPr>
          <w:rFonts w:ascii="Trebuchet MS" w:hAnsi="Trebuchet MS"/>
          <w:sz w:val="20"/>
          <w:szCs w:val="20"/>
        </w:rPr>
        <w:t xml:space="preserve"> </w:t>
      </w:r>
      <w:r w:rsidR="00837A31" w:rsidRPr="009D212F">
        <w:rPr>
          <w:rFonts w:ascii="Trebuchet MS" w:hAnsi="Trebuchet MS"/>
          <w:sz w:val="20"/>
          <w:szCs w:val="20"/>
        </w:rPr>
        <w:t xml:space="preserve">veel </w:t>
      </w:r>
      <w:r w:rsidR="00AC3AD3" w:rsidRPr="009D212F">
        <w:rPr>
          <w:rFonts w:ascii="Trebuchet MS" w:hAnsi="Trebuchet MS"/>
          <w:sz w:val="20"/>
          <w:szCs w:val="20"/>
        </w:rPr>
        <w:t xml:space="preserve">samenwerking tussen de regio’s, maar </w:t>
      </w:r>
      <w:r w:rsidR="00837A31" w:rsidRPr="009D212F">
        <w:rPr>
          <w:rFonts w:ascii="Trebuchet MS" w:hAnsi="Trebuchet MS"/>
          <w:sz w:val="20"/>
          <w:szCs w:val="20"/>
        </w:rPr>
        <w:t>elke bestuurlijke overeenkomst</w:t>
      </w:r>
      <w:r w:rsidR="002C4922" w:rsidRPr="009D212F">
        <w:rPr>
          <w:rFonts w:ascii="Trebuchet MS" w:hAnsi="Trebuchet MS"/>
          <w:sz w:val="20"/>
          <w:szCs w:val="20"/>
        </w:rPr>
        <w:t xml:space="preserve"> is</w:t>
      </w:r>
      <w:r w:rsidR="00AC3AD3" w:rsidRPr="009D212F">
        <w:rPr>
          <w:rFonts w:ascii="Trebuchet MS" w:hAnsi="Trebuchet MS"/>
          <w:sz w:val="20"/>
          <w:szCs w:val="20"/>
        </w:rPr>
        <w:t xml:space="preserve"> specifiek </w:t>
      </w:r>
      <w:r w:rsidR="002C4922" w:rsidRPr="009D212F">
        <w:rPr>
          <w:rFonts w:ascii="Trebuchet MS" w:hAnsi="Trebuchet MS"/>
          <w:sz w:val="20"/>
          <w:szCs w:val="20"/>
        </w:rPr>
        <w:t xml:space="preserve">ook </w:t>
      </w:r>
      <w:r w:rsidR="00AC3AD3" w:rsidRPr="009D212F">
        <w:rPr>
          <w:rFonts w:ascii="Trebuchet MS" w:hAnsi="Trebuchet MS"/>
          <w:sz w:val="20"/>
          <w:szCs w:val="20"/>
        </w:rPr>
        <w:t xml:space="preserve">op de </w:t>
      </w:r>
      <w:r w:rsidR="00B542B1" w:rsidRPr="009D212F">
        <w:rPr>
          <w:rFonts w:ascii="Trebuchet MS" w:hAnsi="Trebuchet MS"/>
          <w:sz w:val="20"/>
          <w:szCs w:val="20"/>
        </w:rPr>
        <w:t xml:space="preserve">betreffende </w:t>
      </w:r>
      <w:r w:rsidR="00AC3AD3" w:rsidRPr="009D212F">
        <w:rPr>
          <w:rFonts w:ascii="Trebuchet MS" w:hAnsi="Trebuchet MS"/>
          <w:sz w:val="20"/>
          <w:szCs w:val="20"/>
        </w:rPr>
        <w:t xml:space="preserve">regio afgestemd.  Van de </w:t>
      </w:r>
      <w:r w:rsidR="00B4129A" w:rsidRPr="009D212F">
        <w:rPr>
          <w:rFonts w:ascii="Trebuchet MS" w:hAnsi="Trebuchet MS"/>
          <w:sz w:val="20"/>
          <w:szCs w:val="20"/>
        </w:rPr>
        <w:t xml:space="preserve">regionaal beschikbare </w:t>
      </w:r>
      <w:r w:rsidR="00AC3AD3" w:rsidRPr="009D212F">
        <w:rPr>
          <w:rFonts w:ascii="Trebuchet MS" w:hAnsi="Trebuchet MS"/>
          <w:sz w:val="20"/>
          <w:szCs w:val="20"/>
        </w:rPr>
        <w:t xml:space="preserve">VSV maatregelen is 85%  </w:t>
      </w:r>
      <w:r w:rsidR="00B542B1" w:rsidRPr="009D212F">
        <w:rPr>
          <w:rFonts w:ascii="Trebuchet MS" w:hAnsi="Trebuchet MS"/>
          <w:sz w:val="20"/>
          <w:szCs w:val="20"/>
        </w:rPr>
        <w:t>van de middelen beschikbaar voor</w:t>
      </w:r>
      <w:r w:rsidR="00AC3AD3" w:rsidRPr="009D212F">
        <w:rPr>
          <w:rFonts w:ascii="Trebuchet MS" w:hAnsi="Trebuchet MS"/>
          <w:sz w:val="20"/>
          <w:szCs w:val="20"/>
        </w:rPr>
        <w:t xml:space="preserve"> het MBO</w:t>
      </w:r>
      <w:r w:rsidR="00B542B1" w:rsidRPr="009D212F">
        <w:rPr>
          <w:rFonts w:ascii="Trebuchet MS" w:hAnsi="Trebuchet MS"/>
          <w:sz w:val="20"/>
          <w:szCs w:val="20"/>
        </w:rPr>
        <w:t xml:space="preserve"> en 15% voor het VO</w:t>
      </w:r>
      <w:r w:rsidR="00AC3AD3" w:rsidRPr="009D212F">
        <w:rPr>
          <w:rFonts w:ascii="Trebuchet MS" w:hAnsi="Trebuchet MS"/>
          <w:sz w:val="20"/>
          <w:szCs w:val="20"/>
        </w:rPr>
        <w:t>.</w:t>
      </w:r>
      <w:r w:rsidR="00837A31" w:rsidRPr="009D212F">
        <w:rPr>
          <w:rFonts w:ascii="Trebuchet MS" w:hAnsi="Trebuchet MS"/>
          <w:sz w:val="20"/>
          <w:szCs w:val="20"/>
        </w:rPr>
        <w:t xml:space="preserve"> D</w:t>
      </w:r>
      <w:r w:rsidR="00B542B1" w:rsidRPr="009D212F">
        <w:rPr>
          <w:rFonts w:ascii="Trebuchet MS" w:hAnsi="Trebuchet MS"/>
          <w:sz w:val="20"/>
          <w:szCs w:val="20"/>
        </w:rPr>
        <w:t>eze verhouding is in overeenstemming</w:t>
      </w:r>
      <w:r w:rsidR="00837A31" w:rsidRPr="009D212F">
        <w:rPr>
          <w:rFonts w:ascii="Trebuchet MS" w:hAnsi="Trebuchet MS"/>
          <w:sz w:val="20"/>
          <w:szCs w:val="20"/>
        </w:rPr>
        <w:t xml:space="preserve"> met het aantal VSV-</w:t>
      </w:r>
      <w:proofErr w:type="spellStart"/>
      <w:r w:rsidR="00837A31" w:rsidRPr="009D212F">
        <w:rPr>
          <w:rFonts w:ascii="Trebuchet MS" w:hAnsi="Trebuchet MS"/>
          <w:sz w:val="20"/>
          <w:szCs w:val="20"/>
        </w:rPr>
        <w:t>ers</w:t>
      </w:r>
      <w:proofErr w:type="spellEnd"/>
      <w:r w:rsidR="00837A31" w:rsidRPr="009D212F">
        <w:rPr>
          <w:rFonts w:ascii="Trebuchet MS" w:hAnsi="Trebuchet MS"/>
          <w:sz w:val="20"/>
          <w:szCs w:val="20"/>
        </w:rPr>
        <w:t xml:space="preserve"> in de regio</w:t>
      </w:r>
      <w:r w:rsidR="00B542B1" w:rsidRPr="009D212F">
        <w:rPr>
          <w:rFonts w:ascii="Trebuchet MS" w:hAnsi="Trebuchet MS"/>
          <w:sz w:val="20"/>
          <w:szCs w:val="20"/>
        </w:rPr>
        <w:t xml:space="preserve"> per onderwijssector</w:t>
      </w:r>
      <w:r w:rsidR="00837A31" w:rsidRPr="009D212F">
        <w:rPr>
          <w:rFonts w:ascii="Trebuchet MS" w:hAnsi="Trebuchet MS"/>
          <w:sz w:val="20"/>
          <w:szCs w:val="20"/>
        </w:rPr>
        <w:t>.</w:t>
      </w:r>
      <w:r w:rsidR="00AC3AD3" w:rsidRPr="009D212F">
        <w:rPr>
          <w:rFonts w:ascii="Trebuchet MS" w:hAnsi="Trebuchet MS"/>
          <w:sz w:val="20"/>
          <w:szCs w:val="20"/>
        </w:rPr>
        <w:t xml:space="preserve"> </w:t>
      </w:r>
      <w:r w:rsidR="00B4129A" w:rsidRPr="009D212F">
        <w:rPr>
          <w:rFonts w:ascii="Trebuchet MS" w:hAnsi="Trebuchet MS"/>
          <w:sz w:val="20"/>
          <w:szCs w:val="20"/>
        </w:rPr>
        <w:t>Voor</w:t>
      </w:r>
      <w:r w:rsidR="008676C5" w:rsidRPr="009D212F">
        <w:rPr>
          <w:rFonts w:ascii="Trebuchet MS" w:hAnsi="Trebuchet MS"/>
          <w:sz w:val="20"/>
          <w:szCs w:val="20"/>
        </w:rPr>
        <w:t xml:space="preserve"> h</w:t>
      </w:r>
      <w:r w:rsidR="00B4129A" w:rsidRPr="009D212F">
        <w:rPr>
          <w:rFonts w:ascii="Trebuchet MS" w:hAnsi="Trebuchet MS"/>
          <w:sz w:val="20"/>
          <w:szCs w:val="20"/>
        </w:rPr>
        <w:t xml:space="preserve">et VO is het </w:t>
      </w:r>
      <w:r w:rsidR="00B542B1" w:rsidRPr="009D212F">
        <w:rPr>
          <w:rFonts w:ascii="Trebuchet MS" w:hAnsi="Trebuchet MS"/>
          <w:sz w:val="20"/>
          <w:szCs w:val="20"/>
        </w:rPr>
        <w:t xml:space="preserve">landelijk totaal </w:t>
      </w:r>
      <w:r w:rsidR="008676C5" w:rsidRPr="009D212F">
        <w:rPr>
          <w:rFonts w:ascii="Trebuchet MS" w:hAnsi="Trebuchet MS"/>
          <w:sz w:val="20"/>
          <w:szCs w:val="20"/>
        </w:rPr>
        <w:t xml:space="preserve">beschikbare </w:t>
      </w:r>
      <w:r w:rsidR="00B4129A" w:rsidRPr="009D212F">
        <w:rPr>
          <w:rFonts w:ascii="Trebuchet MS" w:hAnsi="Trebuchet MS"/>
          <w:sz w:val="20"/>
          <w:szCs w:val="20"/>
        </w:rPr>
        <w:t xml:space="preserve">bedrag </w:t>
      </w:r>
      <w:r w:rsidR="008676C5" w:rsidRPr="009D212F">
        <w:rPr>
          <w:rFonts w:ascii="Trebuchet MS" w:hAnsi="Trebuchet MS"/>
          <w:sz w:val="20"/>
          <w:szCs w:val="20"/>
        </w:rPr>
        <w:t xml:space="preserve">gelijk gebleven en is </w:t>
      </w:r>
      <w:r w:rsidR="00B542B1" w:rsidRPr="009D212F">
        <w:rPr>
          <w:rFonts w:ascii="Trebuchet MS" w:hAnsi="Trebuchet MS"/>
          <w:sz w:val="20"/>
          <w:szCs w:val="20"/>
        </w:rPr>
        <w:t xml:space="preserve">net als voorheen </w:t>
      </w:r>
      <w:r w:rsidR="008676C5" w:rsidRPr="009D212F">
        <w:rPr>
          <w:rFonts w:ascii="Trebuchet MS" w:hAnsi="Trebuchet MS"/>
          <w:sz w:val="20"/>
          <w:szCs w:val="20"/>
        </w:rPr>
        <w:t>verdeeld in prestatiemiddelen en regiomiddelen</w:t>
      </w:r>
      <w:r w:rsidR="00B4129A" w:rsidRPr="009D212F">
        <w:rPr>
          <w:rFonts w:ascii="Trebuchet MS" w:hAnsi="Trebuchet MS"/>
          <w:sz w:val="20"/>
          <w:szCs w:val="20"/>
        </w:rPr>
        <w:t xml:space="preserve">. </w:t>
      </w:r>
      <w:r w:rsidR="008676C5" w:rsidRPr="009D212F">
        <w:rPr>
          <w:rFonts w:ascii="Trebuchet MS" w:hAnsi="Trebuchet MS"/>
          <w:sz w:val="20"/>
          <w:szCs w:val="20"/>
        </w:rPr>
        <w:t>Binnen de prestatiemiddelen heeft er een verschuiving plaatsgevonden</w:t>
      </w:r>
      <w:r w:rsidR="00492D81" w:rsidRPr="009D212F">
        <w:rPr>
          <w:rFonts w:ascii="Trebuchet MS" w:hAnsi="Trebuchet MS"/>
          <w:sz w:val="20"/>
          <w:szCs w:val="20"/>
        </w:rPr>
        <w:t xml:space="preserve"> die nu globaal </w:t>
      </w:r>
      <w:r w:rsidR="00B542B1" w:rsidRPr="009D212F">
        <w:rPr>
          <w:rFonts w:ascii="Trebuchet MS" w:hAnsi="Trebuchet MS"/>
          <w:sz w:val="20"/>
          <w:szCs w:val="20"/>
        </w:rPr>
        <w:t xml:space="preserve">(per brinnummer) </w:t>
      </w:r>
      <w:r w:rsidR="00492D81" w:rsidRPr="009D212F">
        <w:rPr>
          <w:rFonts w:ascii="Trebuchet MS" w:hAnsi="Trebuchet MS"/>
          <w:sz w:val="20"/>
          <w:szCs w:val="20"/>
        </w:rPr>
        <w:t>neerkomt</w:t>
      </w:r>
      <w:r w:rsidR="008676C5" w:rsidRPr="009D212F">
        <w:rPr>
          <w:rFonts w:ascii="Trebuchet MS" w:hAnsi="Trebuchet MS"/>
          <w:sz w:val="20"/>
          <w:szCs w:val="20"/>
        </w:rPr>
        <w:t xml:space="preserve"> </w:t>
      </w:r>
      <w:r w:rsidR="00492D81" w:rsidRPr="009D212F">
        <w:rPr>
          <w:rFonts w:ascii="Trebuchet MS" w:hAnsi="Trebuchet MS"/>
          <w:sz w:val="20"/>
          <w:szCs w:val="20"/>
        </w:rPr>
        <w:t>op 50% vast en 50% variabel.</w:t>
      </w:r>
      <w:r w:rsidR="008676C5" w:rsidRPr="009D212F">
        <w:rPr>
          <w:rFonts w:ascii="Trebuchet MS" w:hAnsi="Trebuchet MS"/>
          <w:sz w:val="20"/>
          <w:szCs w:val="20"/>
        </w:rPr>
        <w:t xml:space="preserve"> De variabele middelen </w:t>
      </w:r>
      <w:r w:rsidR="00C43B9F" w:rsidRPr="009D212F">
        <w:rPr>
          <w:rFonts w:ascii="Trebuchet MS" w:hAnsi="Trebuchet MS"/>
          <w:sz w:val="20"/>
          <w:szCs w:val="20"/>
        </w:rPr>
        <w:t xml:space="preserve">(prestatienormbedrag) </w:t>
      </w:r>
      <w:r w:rsidR="0029105C" w:rsidRPr="009D212F">
        <w:rPr>
          <w:rFonts w:ascii="Trebuchet MS" w:hAnsi="Trebuchet MS"/>
          <w:sz w:val="20"/>
          <w:szCs w:val="20"/>
        </w:rPr>
        <w:t xml:space="preserve">worden </w:t>
      </w:r>
      <w:r w:rsidR="00492D81" w:rsidRPr="009D212F">
        <w:rPr>
          <w:rFonts w:ascii="Trebuchet MS" w:hAnsi="Trebuchet MS"/>
          <w:sz w:val="20"/>
          <w:szCs w:val="20"/>
        </w:rPr>
        <w:t xml:space="preserve">voor een deel </w:t>
      </w:r>
      <w:r w:rsidR="008676C5" w:rsidRPr="009D212F">
        <w:rPr>
          <w:rFonts w:ascii="Trebuchet MS" w:hAnsi="Trebuchet MS"/>
          <w:sz w:val="20"/>
          <w:szCs w:val="20"/>
        </w:rPr>
        <w:t>uitgekeerd als de school</w:t>
      </w:r>
      <w:r w:rsidR="00B4129A" w:rsidRPr="009D212F">
        <w:rPr>
          <w:rFonts w:ascii="Trebuchet MS" w:hAnsi="Trebuchet MS"/>
          <w:sz w:val="20"/>
          <w:szCs w:val="20"/>
        </w:rPr>
        <w:t xml:space="preserve"> op of onder de afgesproken landelijke norm</w:t>
      </w:r>
      <w:r w:rsidR="008676C5" w:rsidRPr="009D212F">
        <w:rPr>
          <w:rFonts w:ascii="Trebuchet MS" w:hAnsi="Trebuchet MS"/>
          <w:sz w:val="20"/>
          <w:szCs w:val="20"/>
        </w:rPr>
        <w:t xml:space="preserve"> blijft</w:t>
      </w:r>
      <w:r w:rsidR="00492D81" w:rsidRPr="009D212F">
        <w:rPr>
          <w:rFonts w:ascii="Trebuchet MS" w:hAnsi="Trebuchet MS"/>
          <w:sz w:val="20"/>
          <w:szCs w:val="20"/>
        </w:rPr>
        <w:t xml:space="preserve"> en voor een deel als de school gelijk</w:t>
      </w:r>
      <w:r w:rsidR="0029105C" w:rsidRPr="009D212F">
        <w:rPr>
          <w:rFonts w:ascii="Trebuchet MS" w:hAnsi="Trebuchet MS"/>
          <w:sz w:val="20"/>
          <w:szCs w:val="20"/>
        </w:rPr>
        <w:t xml:space="preserve"> of onder </w:t>
      </w:r>
      <w:r w:rsidR="00492D81" w:rsidRPr="009D212F">
        <w:rPr>
          <w:rFonts w:ascii="Trebuchet MS" w:hAnsi="Trebuchet MS"/>
          <w:sz w:val="20"/>
          <w:szCs w:val="20"/>
        </w:rPr>
        <w:t>het percentage blijft van de eigen school</w:t>
      </w:r>
      <w:r w:rsidR="0029105C" w:rsidRPr="009D212F">
        <w:rPr>
          <w:rFonts w:ascii="Trebuchet MS" w:hAnsi="Trebuchet MS"/>
          <w:sz w:val="20"/>
          <w:szCs w:val="20"/>
        </w:rPr>
        <w:t xml:space="preserve"> </w:t>
      </w:r>
      <w:r w:rsidR="00F763EC" w:rsidRPr="009D212F">
        <w:rPr>
          <w:rFonts w:ascii="Trebuchet MS" w:hAnsi="Trebuchet MS"/>
          <w:sz w:val="20"/>
          <w:szCs w:val="20"/>
        </w:rPr>
        <w:t>t.o.v. het voorgaande jaar.</w:t>
      </w:r>
    </w:p>
    <w:p w14:paraId="3F5DE0E7" w14:textId="77777777" w:rsidR="00F763EC" w:rsidRPr="009D212F" w:rsidRDefault="00F763EC" w:rsidP="00997DD4">
      <w:pPr>
        <w:spacing w:after="0" w:line="240" w:lineRule="auto"/>
        <w:rPr>
          <w:rFonts w:ascii="Trebuchet MS" w:hAnsi="Trebuchet MS"/>
          <w:sz w:val="20"/>
          <w:szCs w:val="20"/>
        </w:rPr>
      </w:pPr>
      <w:r w:rsidRPr="009D212F">
        <w:rPr>
          <w:rFonts w:ascii="Trebuchet MS" w:hAnsi="Trebuchet MS"/>
          <w:sz w:val="20"/>
          <w:szCs w:val="20"/>
        </w:rPr>
        <w:t>NB Zie voor het overzicht vaste voet en variabel bedrag bijlage 2.</w:t>
      </w:r>
    </w:p>
    <w:p w14:paraId="0F89CD32" w14:textId="77777777" w:rsidR="00997DD4" w:rsidRPr="009D212F" w:rsidRDefault="00997DD4" w:rsidP="00997DD4">
      <w:pPr>
        <w:spacing w:after="0" w:line="240" w:lineRule="auto"/>
        <w:rPr>
          <w:rFonts w:ascii="Trebuchet MS" w:hAnsi="Trebuchet MS"/>
          <w:sz w:val="20"/>
          <w:szCs w:val="20"/>
        </w:rPr>
      </w:pPr>
    </w:p>
    <w:p w14:paraId="3491B162" w14:textId="77777777" w:rsidR="00AC3AD3" w:rsidRPr="009D212F" w:rsidRDefault="00997DD4" w:rsidP="00997DD4">
      <w:pPr>
        <w:spacing w:after="0" w:line="240" w:lineRule="auto"/>
        <w:rPr>
          <w:rFonts w:ascii="Trebuchet MS" w:hAnsi="Trebuchet MS"/>
          <w:sz w:val="20"/>
          <w:szCs w:val="20"/>
        </w:rPr>
      </w:pPr>
      <w:r w:rsidRPr="009D212F">
        <w:rPr>
          <w:rFonts w:ascii="Trebuchet MS" w:hAnsi="Trebuchet MS"/>
          <w:sz w:val="20"/>
          <w:szCs w:val="20"/>
        </w:rPr>
        <w:t xml:space="preserve">Hieronder de </w:t>
      </w:r>
      <w:r w:rsidR="00F938B4" w:rsidRPr="009D212F">
        <w:rPr>
          <w:rFonts w:ascii="Trebuchet MS" w:hAnsi="Trebuchet MS"/>
          <w:sz w:val="20"/>
          <w:szCs w:val="20"/>
        </w:rPr>
        <w:t xml:space="preserve">grote lijnen </w:t>
      </w:r>
      <w:r w:rsidRPr="009D212F">
        <w:rPr>
          <w:rFonts w:ascii="Trebuchet MS" w:hAnsi="Trebuchet MS"/>
          <w:sz w:val="20"/>
          <w:szCs w:val="20"/>
        </w:rPr>
        <w:t xml:space="preserve">van </w:t>
      </w:r>
      <w:r w:rsidR="00AC3AD3" w:rsidRPr="009D212F">
        <w:rPr>
          <w:rFonts w:ascii="Trebuchet MS" w:hAnsi="Trebuchet MS"/>
          <w:sz w:val="20"/>
          <w:szCs w:val="20"/>
        </w:rPr>
        <w:t xml:space="preserve">de </w:t>
      </w:r>
      <w:r w:rsidR="00B4129A" w:rsidRPr="009D212F">
        <w:rPr>
          <w:rFonts w:ascii="Trebuchet MS" w:hAnsi="Trebuchet MS"/>
          <w:sz w:val="20"/>
          <w:szCs w:val="20"/>
        </w:rPr>
        <w:t xml:space="preserve">regionale </w:t>
      </w:r>
      <w:r w:rsidR="00AC3AD3" w:rsidRPr="009D212F">
        <w:rPr>
          <w:rFonts w:ascii="Trebuchet MS" w:hAnsi="Trebuchet MS"/>
          <w:sz w:val="20"/>
          <w:szCs w:val="20"/>
        </w:rPr>
        <w:t>VSV aanpak.</w:t>
      </w:r>
    </w:p>
    <w:p w14:paraId="544EDB9C" w14:textId="77777777" w:rsidR="00997DD4" w:rsidRPr="009D212F" w:rsidRDefault="00997DD4" w:rsidP="00997DD4">
      <w:pPr>
        <w:spacing w:after="0" w:line="240" w:lineRule="auto"/>
        <w:rPr>
          <w:rFonts w:ascii="Trebuchet MS" w:hAnsi="Trebuchet MS"/>
          <w:b/>
          <w:sz w:val="20"/>
          <w:szCs w:val="20"/>
        </w:rPr>
      </w:pPr>
    </w:p>
    <w:p w14:paraId="704BD5CC" w14:textId="77777777" w:rsidR="00B4129A" w:rsidRPr="009D212F" w:rsidRDefault="00B4129A" w:rsidP="00997DD4">
      <w:pPr>
        <w:spacing w:after="0" w:line="240" w:lineRule="auto"/>
        <w:rPr>
          <w:rFonts w:ascii="Trebuchet MS" w:hAnsi="Trebuchet MS"/>
          <w:sz w:val="20"/>
          <w:szCs w:val="20"/>
        </w:rPr>
      </w:pPr>
      <w:r w:rsidRPr="009D212F">
        <w:rPr>
          <w:rFonts w:ascii="Trebuchet MS" w:hAnsi="Trebuchet MS"/>
          <w:b/>
          <w:sz w:val="20"/>
          <w:szCs w:val="20"/>
        </w:rPr>
        <w:t>Maatregel 1 – Preventieve activiteiten</w:t>
      </w:r>
    </w:p>
    <w:p w14:paraId="2855E30E" w14:textId="77777777" w:rsidR="00B4129A" w:rsidRPr="009D212F" w:rsidRDefault="00B4129A" w:rsidP="00997DD4">
      <w:pPr>
        <w:spacing w:after="0" w:line="240" w:lineRule="auto"/>
        <w:rPr>
          <w:rFonts w:ascii="Trebuchet MS" w:hAnsi="Trebuchet MS"/>
          <w:sz w:val="20"/>
          <w:szCs w:val="20"/>
        </w:rPr>
      </w:pPr>
      <w:r w:rsidRPr="009D212F">
        <w:rPr>
          <w:rFonts w:ascii="Trebuchet MS" w:hAnsi="Trebuchet MS"/>
          <w:sz w:val="20"/>
          <w:szCs w:val="20"/>
        </w:rPr>
        <w:t xml:space="preserve">Deze activiteiten zijn gericht op het voorkomen van schooluitval </w:t>
      </w:r>
      <w:r w:rsidR="00997DD4" w:rsidRPr="009D212F">
        <w:rPr>
          <w:rFonts w:ascii="Trebuchet MS" w:hAnsi="Trebuchet MS"/>
          <w:sz w:val="20"/>
          <w:szCs w:val="20"/>
        </w:rPr>
        <w:t xml:space="preserve">van schoolgaande jongeren </w:t>
      </w:r>
      <w:r w:rsidRPr="009D212F">
        <w:rPr>
          <w:rFonts w:ascii="Trebuchet MS" w:hAnsi="Trebuchet MS"/>
          <w:sz w:val="20"/>
          <w:szCs w:val="20"/>
        </w:rPr>
        <w:t xml:space="preserve">en het (verder) versterken van de samenwerking tussen het onderwijs en gemeenten (Leerplicht/RMC, Jeugdzorg/WMO en Participatie).  Voor het VO hebben we gekozen voor de </w:t>
      </w:r>
      <w:r w:rsidRPr="009D212F">
        <w:rPr>
          <w:rFonts w:ascii="Trebuchet MS" w:hAnsi="Trebuchet MS"/>
          <w:sz w:val="20"/>
          <w:szCs w:val="20"/>
          <w:u w:val="single"/>
        </w:rPr>
        <w:t>integrale aanpak</w:t>
      </w:r>
      <w:r w:rsidR="00DA112A" w:rsidRPr="009D212F">
        <w:rPr>
          <w:rFonts w:ascii="Trebuchet MS" w:hAnsi="Trebuchet MS"/>
          <w:sz w:val="20"/>
          <w:szCs w:val="20"/>
          <w:u w:val="single"/>
        </w:rPr>
        <w:t xml:space="preserve"> </w:t>
      </w:r>
      <w:r w:rsidR="00F938B4" w:rsidRPr="009D212F">
        <w:rPr>
          <w:rFonts w:ascii="Trebuchet MS" w:hAnsi="Trebuchet MS"/>
          <w:sz w:val="20"/>
          <w:szCs w:val="20"/>
        </w:rPr>
        <w:t xml:space="preserve">(zie ook </w:t>
      </w:r>
      <w:r w:rsidR="00997DD4" w:rsidRPr="009D212F">
        <w:rPr>
          <w:rFonts w:ascii="Trebuchet MS" w:hAnsi="Trebuchet MS"/>
          <w:sz w:val="20"/>
          <w:szCs w:val="20"/>
        </w:rPr>
        <w:t>de toelichting in</w:t>
      </w:r>
      <w:r w:rsidR="00F763EC" w:rsidRPr="009D212F">
        <w:rPr>
          <w:rFonts w:ascii="Trebuchet MS" w:hAnsi="Trebuchet MS"/>
          <w:sz w:val="20"/>
          <w:szCs w:val="20"/>
        </w:rPr>
        <w:t xml:space="preserve"> </w:t>
      </w:r>
      <w:r w:rsidR="00F938B4" w:rsidRPr="009D212F">
        <w:rPr>
          <w:rFonts w:ascii="Trebuchet MS" w:hAnsi="Trebuchet MS"/>
          <w:sz w:val="20"/>
          <w:szCs w:val="20"/>
        </w:rPr>
        <w:t>bijlage</w:t>
      </w:r>
      <w:r w:rsidR="00F763EC" w:rsidRPr="009D212F">
        <w:rPr>
          <w:rFonts w:ascii="Trebuchet MS" w:hAnsi="Trebuchet MS"/>
          <w:sz w:val="20"/>
          <w:szCs w:val="20"/>
        </w:rPr>
        <w:t xml:space="preserve"> 1</w:t>
      </w:r>
      <w:r w:rsidR="00DA112A" w:rsidRPr="009D212F">
        <w:rPr>
          <w:rFonts w:ascii="Trebuchet MS" w:hAnsi="Trebuchet MS"/>
          <w:sz w:val="20"/>
          <w:szCs w:val="20"/>
        </w:rPr>
        <w:t>)</w:t>
      </w:r>
      <w:r w:rsidRPr="009D212F">
        <w:rPr>
          <w:rFonts w:ascii="Trebuchet MS" w:hAnsi="Trebuchet MS"/>
          <w:sz w:val="20"/>
          <w:szCs w:val="20"/>
        </w:rPr>
        <w:t>. Dit houdt in dat we middelen beschikbaar stellen daar waar de bestaande maatregelen vanuit Jeugdzorg</w:t>
      </w:r>
      <w:r w:rsidR="00F938B4" w:rsidRPr="009D212F">
        <w:rPr>
          <w:rFonts w:ascii="Trebuchet MS" w:hAnsi="Trebuchet MS"/>
          <w:sz w:val="20"/>
          <w:szCs w:val="20"/>
        </w:rPr>
        <w:t>/WMO</w:t>
      </w:r>
      <w:r w:rsidRPr="009D212F">
        <w:rPr>
          <w:rFonts w:ascii="Trebuchet MS" w:hAnsi="Trebuchet MS"/>
          <w:sz w:val="20"/>
          <w:szCs w:val="20"/>
        </w:rPr>
        <w:t xml:space="preserve"> en Passend Onderwijs niet toereikend zijn.</w:t>
      </w:r>
      <w:r w:rsidR="00A656BE" w:rsidRPr="009D212F">
        <w:rPr>
          <w:rFonts w:ascii="Trebuchet MS" w:hAnsi="Trebuchet MS"/>
          <w:sz w:val="20"/>
          <w:szCs w:val="20"/>
        </w:rPr>
        <w:t xml:space="preserve">  Het betreft het inrichten van integrale </w:t>
      </w:r>
      <w:proofErr w:type="spellStart"/>
      <w:r w:rsidR="00A656BE" w:rsidRPr="009D212F">
        <w:rPr>
          <w:rFonts w:ascii="Trebuchet MS" w:hAnsi="Trebuchet MS"/>
          <w:sz w:val="20"/>
          <w:szCs w:val="20"/>
        </w:rPr>
        <w:t>boven-regionale</w:t>
      </w:r>
      <w:proofErr w:type="spellEnd"/>
      <w:r w:rsidR="00A656BE" w:rsidRPr="009D212F">
        <w:rPr>
          <w:rFonts w:ascii="Trebuchet MS" w:hAnsi="Trebuchet MS"/>
          <w:sz w:val="20"/>
          <w:szCs w:val="20"/>
        </w:rPr>
        <w:t xml:space="preserve"> ondersteuning in situaties waar lokaal geen oplossing wordt gerealiseerd (in samenwerking met de onderwijslocatie en </w:t>
      </w:r>
      <w:r w:rsidR="00F938B4" w:rsidRPr="009D212F">
        <w:rPr>
          <w:rFonts w:ascii="Trebuchet MS" w:hAnsi="Trebuchet MS"/>
          <w:sz w:val="20"/>
          <w:szCs w:val="20"/>
        </w:rPr>
        <w:t xml:space="preserve">het </w:t>
      </w:r>
      <w:r w:rsidR="00A656BE" w:rsidRPr="009D212F">
        <w:rPr>
          <w:rFonts w:ascii="Trebuchet MS" w:hAnsi="Trebuchet MS"/>
          <w:sz w:val="20"/>
          <w:szCs w:val="20"/>
        </w:rPr>
        <w:t>betrokken basisteam van de gemeente).</w:t>
      </w:r>
      <w:r w:rsidR="00DA112A" w:rsidRPr="009D212F">
        <w:rPr>
          <w:rFonts w:ascii="Trebuchet MS" w:hAnsi="Trebuchet MS"/>
          <w:sz w:val="20"/>
          <w:szCs w:val="20"/>
        </w:rPr>
        <w:t xml:space="preserve"> </w:t>
      </w:r>
    </w:p>
    <w:p w14:paraId="01F451F4" w14:textId="3385E16F" w:rsidR="00DA112A" w:rsidRPr="009D212F" w:rsidRDefault="00DA112A" w:rsidP="00997DD4">
      <w:pPr>
        <w:spacing w:after="0" w:line="240" w:lineRule="auto"/>
        <w:rPr>
          <w:rFonts w:ascii="Trebuchet MS" w:hAnsi="Trebuchet MS"/>
          <w:sz w:val="20"/>
          <w:szCs w:val="20"/>
        </w:rPr>
      </w:pPr>
      <w:r w:rsidRPr="009D212F">
        <w:rPr>
          <w:rFonts w:ascii="Trebuchet MS" w:hAnsi="Trebuchet MS"/>
          <w:sz w:val="20"/>
          <w:szCs w:val="20"/>
        </w:rPr>
        <w:t xml:space="preserve">NB </w:t>
      </w:r>
      <w:proofErr w:type="spellStart"/>
      <w:r w:rsidR="00B357E6">
        <w:rPr>
          <w:rFonts w:ascii="Trebuchet MS" w:hAnsi="Trebuchet MS"/>
          <w:sz w:val="20"/>
          <w:szCs w:val="20"/>
        </w:rPr>
        <w:t>C</w:t>
      </w:r>
      <w:r w:rsidRPr="009D212F">
        <w:rPr>
          <w:rFonts w:ascii="Trebuchet MS" w:hAnsi="Trebuchet MS"/>
          <w:sz w:val="20"/>
          <w:szCs w:val="20"/>
        </w:rPr>
        <w:t>oachingstrajecten</w:t>
      </w:r>
      <w:proofErr w:type="spellEnd"/>
      <w:r w:rsidRPr="009D212F">
        <w:rPr>
          <w:rFonts w:ascii="Trebuchet MS" w:hAnsi="Trebuchet MS"/>
          <w:sz w:val="20"/>
          <w:szCs w:val="20"/>
        </w:rPr>
        <w:t xml:space="preserve"> </w:t>
      </w:r>
      <w:r w:rsidR="00D715AE" w:rsidRPr="009D212F">
        <w:rPr>
          <w:rFonts w:ascii="Trebuchet MS" w:hAnsi="Trebuchet MS"/>
          <w:sz w:val="20"/>
          <w:szCs w:val="20"/>
        </w:rPr>
        <w:t>zijn</w:t>
      </w:r>
      <w:r w:rsidRPr="009D212F">
        <w:rPr>
          <w:rFonts w:ascii="Trebuchet MS" w:hAnsi="Trebuchet MS"/>
          <w:sz w:val="20"/>
          <w:szCs w:val="20"/>
        </w:rPr>
        <w:t xml:space="preserve"> doorgaans trajecten die </w:t>
      </w:r>
      <w:r w:rsidR="00F938B4" w:rsidRPr="009D212F">
        <w:rPr>
          <w:rFonts w:ascii="Trebuchet MS" w:hAnsi="Trebuchet MS"/>
          <w:sz w:val="20"/>
          <w:szCs w:val="20"/>
        </w:rPr>
        <w:t xml:space="preserve">in alle gevallen </w:t>
      </w:r>
      <w:r w:rsidRPr="009D212F">
        <w:rPr>
          <w:rFonts w:ascii="Trebuchet MS" w:hAnsi="Trebuchet MS"/>
          <w:sz w:val="20"/>
          <w:szCs w:val="20"/>
        </w:rPr>
        <w:t xml:space="preserve">voor 18- moeten worden aangevraagd bij de sociale teams (basisteams) van de gemeenten al dan </w:t>
      </w:r>
      <w:r w:rsidR="00F938B4" w:rsidRPr="009D212F">
        <w:rPr>
          <w:rFonts w:ascii="Trebuchet MS" w:hAnsi="Trebuchet MS"/>
          <w:sz w:val="20"/>
          <w:szCs w:val="20"/>
        </w:rPr>
        <w:t xml:space="preserve">niet </w:t>
      </w:r>
      <w:r w:rsidRPr="009D212F">
        <w:rPr>
          <w:rFonts w:ascii="Trebuchet MS" w:hAnsi="Trebuchet MS"/>
          <w:sz w:val="20"/>
          <w:szCs w:val="20"/>
        </w:rPr>
        <w:t>in samenwerking met de school zelf (onderwijs-zorgarrangementen).</w:t>
      </w:r>
    </w:p>
    <w:p w14:paraId="14F8A428" w14:textId="77777777" w:rsidR="00B4129A" w:rsidRPr="009D212F" w:rsidRDefault="00B4129A" w:rsidP="00997DD4">
      <w:pPr>
        <w:spacing w:after="0" w:line="240" w:lineRule="auto"/>
        <w:rPr>
          <w:rFonts w:ascii="Trebuchet MS" w:hAnsi="Trebuchet MS"/>
          <w:sz w:val="20"/>
          <w:szCs w:val="20"/>
        </w:rPr>
      </w:pPr>
    </w:p>
    <w:p w14:paraId="21BE53F3" w14:textId="77777777" w:rsidR="00B4129A" w:rsidRPr="009D212F" w:rsidRDefault="00B4129A" w:rsidP="00997DD4">
      <w:pPr>
        <w:spacing w:after="0" w:line="240" w:lineRule="auto"/>
        <w:rPr>
          <w:rFonts w:ascii="Trebuchet MS" w:hAnsi="Trebuchet MS"/>
          <w:b/>
          <w:sz w:val="20"/>
          <w:szCs w:val="20"/>
        </w:rPr>
      </w:pPr>
      <w:r w:rsidRPr="009D212F">
        <w:rPr>
          <w:rFonts w:ascii="Trebuchet MS" w:hAnsi="Trebuchet MS"/>
          <w:b/>
          <w:sz w:val="20"/>
          <w:szCs w:val="20"/>
        </w:rPr>
        <w:t>Maatregel 2 – Ondersteunen</w:t>
      </w:r>
      <w:r w:rsidR="00A656BE" w:rsidRPr="009D212F">
        <w:rPr>
          <w:rFonts w:ascii="Trebuchet MS" w:hAnsi="Trebuchet MS"/>
          <w:b/>
          <w:sz w:val="20"/>
          <w:szCs w:val="20"/>
        </w:rPr>
        <w:t>de</w:t>
      </w:r>
      <w:r w:rsidRPr="009D212F">
        <w:rPr>
          <w:rFonts w:ascii="Trebuchet MS" w:hAnsi="Trebuchet MS"/>
          <w:b/>
          <w:sz w:val="20"/>
          <w:szCs w:val="20"/>
        </w:rPr>
        <w:t xml:space="preserve"> activiteiten</w:t>
      </w:r>
    </w:p>
    <w:p w14:paraId="1DA74B59" w14:textId="6B511C49" w:rsidR="00B4129A" w:rsidRPr="009D212F" w:rsidRDefault="00B4129A" w:rsidP="00997DD4">
      <w:pPr>
        <w:spacing w:after="0" w:line="240" w:lineRule="auto"/>
        <w:rPr>
          <w:rFonts w:ascii="Trebuchet MS" w:hAnsi="Trebuchet MS"/>
          <w:sz w:val="20"/>
          <w:szCs w:val="20"/>
        </w:rPr>
      </w:pPr>
      <w:r w:rsidRPr="009D212F">
        <w:rPr>
          <w:rFonts w:ascii="Trebuchet MS" w:hAnsi="Trebuchet MS"/>
          <w:sz w:val="20"/>
          <w:szCs w:val="20"/>
        </w:rPr>
        <w:t xml:space="preserve">In de ondersteunende activiteiten zal met nadruk aandacht geschonken worden aan jongeren in kwetsbare posities. De invulling voor onze regio is gericht op een subsidie </w:t>
      </w:r>
      <w:r w:rsidR="0074030C">
        <w:rPr>
          <w:rFonts w:ascii="Trebuchet MS" w:hAnsi="Trebuchet MS"/>
          <w:sz w:val="20"/>
          <w:szCs w:val="20"/>
        </w:rPr>
        <w:t xml:space="preserve"> </w:t>
      </w:r>
      <w:r w:rsidRPr="009D212F">
        <w:rPr>
          <w:rFonts w:ascii="Trebuchet MS" w:hAnsi="Trebuchet MS"/>
          <w:sz w:val="20"/>
          <w:szCs w:val="20"/>
        </w:rPr>
        <w:t>‘Maatwerk RENN4’, een samenwerking tussen beide SwV’s, RENN4 en de gemeenten.</w:t>
      </w:r>
    </w:p>
    <w:p w14:paraId="36026668" w14:textId="77777777" w:rsidR="00B4129A" w:rsidRPr="009D212F" w:rsidRDefault="00B4129A" w:rsidP="00997DD4">
      <w:pPr>
        <w:spacing w:after="0" w:line="240" w:lineRule="auto"/>
        <w:rPr>
          <w:rFonts w:ascii="Trebuchet MS" w:hAnsi="Trebuchet MS"/>
          <w:sz w:val="20"/>
          <w:szCs w:val="20"/>
        </w:rPr>
      </w:pPr>
    </w:p>
    <w:p w14:paraId="151F6BCA" w14:textId="77777777" w:rsidR="00B4129A" w:rsidRPr="009D212F" w:rsidRDefault="00B4129A" w:rsidP="00997DD4">
      <w:pPr>
        <w:spacing w:after="0" w:line="240" w:lineRule="auto"/>
        <w:rPr>
          <w:rFonts w:ascii="Trebuchet MS" w:hAnsi="Trebuchet MS"/>
          <w:sz w:val="20"/>
          <w:szCs w:val="20"/>
        </w:rPr>
      </w:pPr>
      <w:r w:rsidRPr="009D212F">
        <w:rPr>
          <w:rFonts w:ascii="Trebuchet MS" w:hAnsi="Trebuchet MS"/>
          <w:b/>
          <w:sz w:val="20"/>
          <w:szCs w:val="20"/>
        </w:rPr>
        <w:t>Maatregel 3 – Doorgeleiden naar het vervolg</w:t>
      </w:r>
    </w:p>
    <w:p w14:paraId="7176ED36" w14:textId="77777777" w:rsidR="00A656BE" w:rsidRPr="009D212F" w:rsidRDefault="00B4129A" w:rsidP="00997DD4">
      <w:pPr>
        <w:spacing w:after="0" w:line="240" w:lineRule="auto"/>
        <w:rPr>
          <w:rFonts w:ascii="Trebuchet MS" w:hAnsi="Trebuchet MS"/>
          <w:sz w:val="20"/>
          <w:szCs w:val="20"/>
        </w:rPr>
      </w:pPr>
      <w:r w:rsidRPr="009D212F">
        <w:rPr>
          <w:rFonts w:ascii="Trebuchet MS" w:hAnsi="Trebuchet MS"/>
          <w:sz w:val="20"/>
          <w:szCs w:val="20"/>
        </w:rPr>
        <w:t>Deze activitei</w:t>
      </w:r>
      <w:r w:rsidR="00F763EC" w:rsidRPr="009D212F">
        <w:rPr>
          <w:rFonts w:ascii="Trebuchet MS" w:hAnsi="Trebuchet MS"/>
          <w:sz w:val="20"/>
          <w:szCs w:val="20"/>
        </w:rPr>
        <w:t xml:space="preserve">ten zijn gericht op een </w:t>
      </w:r>
      <w:r w:rsidRPr="009D212F">
        <w:rPr>
          <w:rFonts w:ascii="Trebuchet MS" w:hAnsi="Trebuchet MS"/>
          <w:sz w:val="20"/>
          <w:szCs w:val="20"/>
        </w:rPr>
        <w:t xml:space="preserve">doelgroep </w:t>
      </w:r>
      <w:r w:rsidR="00F763EC" w:rsidRPr="009D212F">
        <w:rPr>
          <w:rFonts w:ascii="Trebuchet MS" w:hAnsi="Trebuchet MS"/>
          <w:sz w:val="20"/>
          <w:szCs w:val="20"/>
        </w:rPr>
        <w:t xml:space="preserve">jongeren </w:t>
      </w:r>
      <w:r w:rsidRPr="009D212F">
        <w:rPr>
          <w:rFonts w:ascii="Trebuchet MS" w:hAnsi="Trebuchet MS"/>
          <w:sz w:val="20"/>
          <w:szCs w:val="20"/>
        </w:rPr>
        <w:t xml:space="preserve">die </w:t>
      </w:r>
      <w:r w:rsidR="00997DD4" w:rsidRPr="009D212F">
        <w:rPr>
          <w:rFonts w:ascii="Trebuchet MS" w:hAnsi="Trebuchet MS"/>
          <w:sz w:val="20"/>
          <w:szCs w:val="20"/>
        </w:rPr>
        <w:t>extra</w:t>
      </w:r>
      <w:r w:rsidRPr="009D212F">
        <w:rPr>
          <w:rFonts w:ascii="Trebuchet MS" w:hAnsi="Trebuchet MS"/>
          <w:sz w:val="20"/>
          <w:szCs w:val="20"/>
        </w:rPr>
        <w:t xml:space="preserve"> ond</w:t>
      </w:r>
      <w:r w:rsidR="00997DD4" w:rsidRPr="009D212F">
        <w:rPr>
          <w:rFonts w:ascii="Trebuchet MS" w:hAnsi="Trebuchet MS"/>
          <w:sz w:val="20"/>
          <w:szCs w:val="20"/>
        </w:rPr>
        <w:t xml:space="preserve">ersteuning nodig hebben bij een </w:t>
      </w:r>
      <w:r w:rsidRPr="009D212F">
        <w:rPr>
          <w:rFonts w:ascii="Trebuchet MS" w:hAnsi="Trebuchet MS"/>
          <w:sz w:val="20"/>
          <w:szCs w:val="20"/>
        </w:rPr>
        <w:t>succesvol</w:t>
      </w:r>
      <w:r w:rsidR="00997DD4" w:rsidRPr="009D212F">
        <w:rPr>
          <w:rFonts w:ascii="Trebuchet MS" w:hAnsi="Trebuchet MS"/>
          <w:sz w:val="20"/>
          <w:szCs w:val="20"/>
        </w:rPr>
        <w:t>le</w:t>
      </w:r>
      <w:r w:rsidR="00F763EC" w:rsidRPr="009D212F">
        <w:rPr>
          <w:rFonts w:ascii="Trebuchet MS" w:hAnsi="Trebuchet MS"/>
          <w:sz w:val="20"/>
          <w:szCs w:val="20"/>
        </w:rPr>
        <w:t xml:space="preserve"> over</w:t>
      </w:r>
      <w:r w:rsidRPr="009D212F">
        <w:rPr>
          <w:rFonts w:ascii="Trebuchet MS" w:hAnsi="Trebuchet MS"/>
          <w:sz w:val="20"/>
          <w:szCs w:val="20"/>
        </w:rPr>
        <w:t xml:space="preserve">stap in de (onderwijs)loopbaan. </w:t>
      </w:r>
      <w:r w:rsidRPr="009D212F">
        <w:rPr>
          <w:rFonts w:ascii="Trebuchet MS" w:hAnsi="Trebuchet MS"/>
          <w:sz w:val="20"/>
          <w:szCs w:val="20"/>
        </w:rPr>
        <w:br/>
      </w:r>
      <w:r w:rsidR="00A656BE" w:rsidRPr="009D212F">
        <w:rPr>
          <w:rFonts w:ascii="Trebuchet MS" w:hAnsi="Trebuchet MS"/>
          <w:sz w:val="20"/>
          <w:szCs w:val="20"/>
        </w:rPr>
        <w:t xml:space="preserve">Voor het VO hebben we gekozen voor </w:t>
      </w:r>
    </w:p>
    <w:p w14:paraId="7A771FBC" w14:textId="77777777" w:rsidR="00B4129A" w:rsidRPr="009D212F" w:rsidRDefault="00A656BE" w:rsidP="00997DD4">
      <w:pPr>
        <w:pStyle w:val="Lijstalinea"/>
        <w:numPr>
          <w:ilvl w:val="0"/>
          <w:numId w:val="4"/>
        </w:numPr>
        <w:spacing w:after="0" w:line="240" w:lineRule="auto"/>
        <w:rPr>
          <w:rFonts w:ascii="Trebuchet MS" w:hAnsi="Trebuchet MS"/>
          <w:sz w:val="20"/>
          <w:szCs w:val="20"/>
        </w:rPr>
      </w:pPr>
      <w:r w:rsidRPr="009D212F">
        <w:rPr>
          <w:rFonts w:ascii="Trebuchet MS" w:hAnsi="Trebuchet MS"/>
          <w:sz w:val="20"/>
          <w:szCs w:val="20"/>
        </w:rPr>
        <w:t xml:space="preserve">continuering van de </w:t>
      </w:r>
      <w:r w:rsidR="00B4129A" w:rsidRPr="009D212F">
        <w:rPr>
          <w:rFonts w:ascii="Trebuchet MS" w:hAnsi="Trebuchet MS"/>
          <w:sz w:val="20"/>
          <w:szCs w:val="20"/>
        </w:rPr>
        <w:t>doorstroombegeleid</w:t>
      </w:r>
      <w:r w:rsidRPr="009D212F">
        <w:rPr>
          <w:rFonts w:ascii="Trebuchet MS" w:hAnsi="Trebuchet MS"/>
          <w:sz w:val="20"/>
          <w:szCs w:val="20"/>
        </w:rPr>
        <w:t>ers</w:t>
      </w:r>
      <w:r w:rsidR="00B4129A" w:rsidRPr="009D212F">
        <w:rPr>
          <w:rFonts w:ascii="Trebuchet MS" w:hAnsi="Trebuchet MS"/>
          <w:sz w:val="20"/>
          <w:szCs w:val="20"/>
        </w:rPr>
        <w:t xml:space="preserve"> VO</w:t>
      </w:r>
      <w:r w:rsidRPr="009D212F">
        <w:rPr>
          <w:rFonts w:ascii="Trebuchet MS" w:hAnsi="Trebuchet MS"/>
          <w:sz w:val="20"/>
          <w:szCs w:val="20"/>
        </w:rPr>
        <w:t>-MBO</w:t>
      </w:r>
    </w:p>
    <w:p w14:paraId="47095786" w14:textId="77777777" w:rsidR="00225140" w:rsidRPr="009D212F" w:rsidRDefault="00A656BE" w:rsidP="00997DD4">
      <w:pPr>
        <w:pStyle w:val="Lijstalinea"/>
        <w:numPr>
          <w:ilvl w:val="0"/>
          <w:numId w:val="4"/>
        </w:numPr>
        <w:spacing w:after="0" w:line="240" w:lineRule="auto"/>
        <w:rPr>
          <w:rFonts w:ascii="Trebuchet MS" w:hAnsi="Trebuchet MS"/>
          <w:sz w:val="20"/>
          <w:szCs w:val="20"/>
        </w:rPr>
      </w:pPr>
      <w:r w:rsidRPr="009D212F">
        <w:rPr>
          <w:rFonts w:ascii="Trebuchet MS" w:hAnsi="Trebuchet MS"/>
          <w:sz w:val="20"/>
          <w:szCs w:val="20"/>
        </w:rPr>
        <w:t>integrale aanpak v</w:t>
      </w:r>
      <w:r w:rsidR="00F938B4" w:rsidRPr="009D212F">
        <w:rPr>
          <w:rFonts w:ascii="Trebuchet MS" w:hAnsi="Trebuchet MS"/>
          <w:sz w:val="20"/>
          <w:szCs w:val="20"/>
        </w:rPr>
        <w:t>oor jongeren in het PrO-VSO</w:t>
      </w:r>
      <w:r w:rsidR="00B542B1" w:rsidRPr="009D212F">
        <w:rPr>
          <w:rFonts w:ascii="Trebuchet MS" w:hAnsi="Trebuchet MS"/>
          <w:sz w:val="20"/>
          <w:szCs w:val="20"/>
        </w:rPr>
        <w:t xml:space="preserve"> (</w:t>
      </w:r>
      <w:r w:rsidR="00225140" w:rsidRPr="009D212F">
        <w:rPr>
          <w:rFonts w:ascii="Trebuchet MS" w:hAnsi="Trebuchet MS"/>
          <w:sz w:val="20"/>
          <w:szCs w:val="20"/>
        </w:rPr>
        <w:t xml:space="preserve">voor de uitwerking zie toelichting in </w:t>
      </w:r>
    </w:p>
    <w:p w14:paraId="4C6F7CA1" w14:textId="77777777" w:rsidR="00A656BE" w:rsidRPr="009D212F" w:rsidRDefault="00B542B1" w:rsidP="00225140">
      <w:pPr>
        <w:pStyle w:val="Lijstalinea"/>
        <w:spacing w:after="0" w:line="240" w:lineRule="auto"/>
        <w:rPr>
          <w:rFonts w:ascii="Trebuchet MS" w:hAnsi="Trebuchet MS"/>
          <w:sz w:val="20"/>
          <w:szCs w:val="20"/>
        </w:rPr>
      </w:pPr>
      <w:r w:rsidRPr="009D212F">
        <w:rPr>
          <w:rFonts w:ascii="Trebuchet MS" w:hAnsi="Trebuchet MS"/>
          <w:sz w:val="20"/>
          <w:szCs w:val="20"/>
        </w:rPr>
        <w:t>bijlage</w:t>
      </w:r>
      <w:r w:rsidR="00225140" w:rsidRPr="009D212F">
        <w:rPr>
          <w:rFonts w:ascii="Trebuchet MS" w:hAnsi="Trebuchet MS"/>
          <w:sz w:val="20"/>
          <w:szCs w:val="20"/>
        </w:rPr>
        <w:t xml:space="preserve"> 1</w:t>
      </w:r>
      <w:r w:rsidRPr="009D212F">
        <w:rPr>
          <w:rFonts w:ascii="Trebuchet MS" w:hAnsi="Trebuchet MS"/>
          <w:sz w:val="20"/>
          <w:szCs w:val="20"/>
        </w:rPr>
        <w:t>)</w:t>
      </w:r>
    </w:p>
    <w:p w14:paraId="6C0D1B3B" w14:textId="77777777" w:rsidR="00B4129A" w:rsidRPr="009D212F" w:rsidRDefault="00B4129A" w:rsidP="00997DD4">
      <w:pPr>
        <w:spacing w:after="0" w:line="240" w:lineRule="auto"/>
        <w:rPr>
          <w:rFonts w:ascii="Trebuchet MS" w:hAnsi="Trebuchet MS"/>
          <w:sz w:val="20"/>
          <w:szCs w:val="20"/>
        </w:rPr>
      </w:pPr>
      <w:r w:rsidRPr="009D212F">
        <w:rPr>
          <w:rFonts w:ascii="Trebuchet MS" w:hAnsi="Trebuchet MS"/>
          <w:sz w:val="20"/>
          <w:szCs w:val="20"/>
        </w:rPr>
        <w:t xml:space="preserve"> </w:t>
      </w:r>
    </w:p>
    <w:p w14:paraId="4DDA921B" w14:textId="77777777" w:rsidR="00B4129A" w:rsidRPr="009D212F" w:rsidRDefault="00B4129A" w:rsidP="00997DD4">
      <w:pPr>
        <w:spacing w:after="0" w:line="240" w:lineRule="auto"/>
        <w:rPr>
          <w:rFonts w:ascii="Trebuchet MS" w:hAnsi="Trebuchet MS"/>
          <w:sz w:val="20"/>
          <w:szCs w:val="20"/>
        </w:rPr>
      </w:pPr>
      <w:r w:rsidRPr="009D212F">
        <w:rPr>
          <w:rFonts w:ascii="Trebuchet MS" w:hAnsi="Trebuchet MS"/>
          <w:b/>
          <w:sz w:val="20"/>
          <w:szCs w:val="20"/>
        </w:rPr>
        <w:t>Maatregel 4 – Analyse en monitoring</w:t>
      </w:r>
    </w:p>
    <w:p w14:paraId="5523F065" w14:textId="77777777" w:rsidR="00A656BE" w:rsidRPr="009D212F" w:rsidRDefault="00B4129A" w:rsidP="00997DD4">
      <w:pPr>
        <w:spacing w:after="0" w:line="240" w:lineRule="auto"/>
        <w:rPr>
          <w:rFonts w:ascii="Trebuchet MS" w:hAnsi="Trebuchet MS"/>
          <w:sz w:val="20"/>
          <w:szCs w:val="20"/>
        </w:rPr>
      </w:pPr>
      <w:r w:rsidRPr="009D212F">
        <w:rPr>
          <w:rFonts w:ascii="Trebuchet MS" w:hAnsi="Trebuchet MS"/>
          <w:sz w:val="20"/>
          <w:szCs w:val="20"/>
        </w:rPr>
        <w:t xml:space="preserve">Deze activiteiten zijn gericht op een nadere analyse en monitoring van de </w:t>
      </w:r>
      <w:r w:rsidR="00A656BE" w:rsidRPr="009D212F">
        <w:rPr>
          <w:rFonts w:ascii="Trebuchet MS" w:hAnsi="Trebuchet MS"/>
          <w:sz w:val="20"/>
          <w:szCs w:val="20"/>
        </w:rPr>
        <w:t>(nieuwe) doelgroepen (PRO/VSO – VO – MBO – oud VSV-</w:t>
      </w:r>
      <w:proofErr w:type="spellStart"/>
      <w:r w:rsidR="00A656BE" w:rsidRPr="009D212F">
        <w:rPr>
          <w:rFonts w:ascii="Trebuchet MS" w:hAnsi="Trebuchet MS"/>
          <w:sz w:val="20"/>
          <w:szCs w:val="20"/>
        </w:rPr>
        <w:t>ers</w:t>
      </w:r>
      <w:proofErr w:type="spellEnd"/>
      <w:r w:rsidR="00A656BE" w:rsidRPr="009D212F">
        <w:rPr>
          <w:rFonts w:ascii="Trebuchet MS" w:hAnsi="Trebuchet MS"/>
          <w:sz w:val="20"/>
          <w:szCs w:val="20"/>
        </w:rPr>
        <w:t>)</w:t>
      </w:r>
      <w:r w:rsidRPr="009D212F">
        <w:rPr>
          <w:rFonts w:ascii="Trebuchet MS" w:hAnsi="Trebuchet MS"/>
          <w:sz w:val="20"/>
          <w:szCs w:val="20"/>
        </w:rPr>
        <w:t xml:space="preserve"> </w:t>
      </w:r>
      <w:r w:rsidR="00A656BE" w:rsidRPr="009D212F">
        <w:rPr>
          <w:rFonts w:ascii="Trebuchet MS" w:hAnsi="Trebuchet MS"/>
          <w:sz w:val="20"/>
          <w:szCs w:val="20"/>
        </w:rPr>
        <w:t>.</w:t>
      </w:r>
    </w:p>
    <w:p w14:paraId="5ECA43AF" w14:textId="77777777" w:rsidR="00A656BE" w:rsidRPr="009D212F" w:rsidRDefault="00B4129A" w:rsidP="00997DD4">
      <w:pPr>
        <w:pStyle w:val="Lijstalinea"/>
        <w:numPr>
          <w:ilvl w:val="0"/>
          <w:numId w:val="5"/>
        </w:numPr>
        <w:spacing w:after="0" w:line="240" w:lineRule="auto"/>
        <w:rPr>
          <w:rFonts w:ascii="Trebuchet MS" w:hAnsi="Trebuchet MS"/>
          <w:sz w:val="20"/>
          <w:szCs w:val="20"/>
        </w:rPr>
      </w:pPr>
      <w:r w:rsidRPr="009D212F">
        <w:rPr>
          <w:rFonts w:ascii="Trebuchet MS" w:hAnsi="Trebuchet MS"/>
          <w:sz w:val="20"/>
          <w:szCs w:val="20"/>
        </w:rPr>
        <w:t xml:space="preserve">Voor de monitoring maken we </w:t>
      </w:r>
      <w:r w:rsidR="00A656BE" w:rsidRPr="009D212F">
        <w:rPr>
          <w:rFonts w:ascii="Trebuchet MS" w:hAnsi="Trebuchet MS"/>
          <w:sz w:val="20"/>
          <w:szCs w:val="20"/>
        </w:rPr>
        <w:t xml:space="preserve">(blijvend) </w:t>
      </w:r>
      <w:r w:rsidRPr="009D212F">
        <w:rPr>
          <w:rFonts w:ascii="Trebuchet MS" w:hAnsi="Trebuchet MS"/>
          <w:sz w:val="20"/>
          <w:szCs w:val="20"/>
        </w:rPr>
        <w:t>gebruik van Intergrip in de overstap VO-MBO.</w:t>
      </w:r>
      <w:r w:rsidR="00DA112A" w:rsidRPr="009D212F">
        <w:rPr>
          <w:rFonts w:ascii="Trebuchet MS" w:hAnsi="Trebuchet MS"/>
          <w:sz w:val="20"/>
          <w:szCs w:val="20"/>
        </w:rPr>
        <w:t xml:space="preserve"> Het betreft een tegemoetkom</w:t>
      </w:r>
      <w:r w:rsidR="00F938B4" w:rsidRPr="009D212F">
        <w:rPr>
          <w:rFonts w:ascii="Trebuchet MS" w:hAnsi="Trebuchet MS"/>
          <w:sz w:val="20"/>
          <w:szCs w:val="20"/>
        </w:rPr>
        <w:t>ing in de kosten. De VO SwV’s, h</w:t>
      </w:r>
      <w:r w:rsidR="00DA112A" w:rsidRPr="009D212F">
        <w:rPr>
          <w:rFonts w:ascii="Trebuchet MS" w:hAnsi="Trebuchet MS"/>
          <w:sz w:val="20"/>
          <w:szCs w:val="20"/>
        </w:rPr>
        <w:t>et</w:t>
      </w:r>
      <w:r w:rsidR="00F938B4" w:rsidRPr="009D212F">
        <w:rPr>
          <w:rFonts w:ascii="Trebuchet MS" w:hAnsi="Trebuchet MS"/>
          <w:sz w:val="20"/>
          <w:szCs w:val="20"/>
        </w:rPr>
        <w:t xml:space="preserve"> MBO en de gemeenten dragen daarnaast apart bij aan de kosten van</w:t>
      </w:r>
      <w:r w:rsidR="00DA112A" w:rsidRPr="009D212F">
        <w:rPr>
          <w:rFonts w:ascii="Trebuchet MS" w:hAnsi="Trebuchet MS"/>
          <w:sz w:val="20"/>
          <w:szCs w:val="20"/>
        </w:rPr>
        <w:t xml:space="preserve"> de monitor</w:t>
      </w:r>
      <w:r w:rsidRPr="009D212F">
        <w:rPr>
          <w:rFonts w:ascii="Trebuchet MS" w:hAnsi="Trebuchet MS"/>
          <w:sz w:val="20"/>
          <w:szCs w:val="20"/>
        </w:rPr>
        <w:t xml:space="preserve"> </w:t>
      </w:r>
    </w:p>
    <w:p w14:paraId="1093671F" w14:textId="2C008513" w:rsidR="00225140" w:rsidRPr="009D212F" w:rsidRDefault="00DA112A" w:rsidP="00997DD4">
      <w:pPr>
        <w:pStyle w:val="Lijstalinea"/>
        <w:numPr>
          <w:ilvl w:val="0"/>
          <w:numId w:val="5"/>
        </w:numPr>
        <w:spacing w:after="0" w:line="240" w:lineRule="auto"/>
        <w:rPr>
          <w:rFonts w:ascii="Trebuchet MS" w:hAnsi="Trebuchet MS"/>
          <w:sz w:val="20"/>
          <w:szCs w:val="20"/>
        </w:rPr>
      </w:pPr>
      <w:r w:rsidRPr="009D212F">
        <w:rPr>
          <w:rFonts w:ascii="Trebuchet MS" w:hAnsi="Trebuchet MS"/>
          <w:sz w:val="20"/>
          <w:szCs w:val="20"/>
        </w:rPr>
        <w:t xml:space="preserve">Het systeem Intergrip </w:t>
      </w:r>
      <w:r w:rsidR="003A5686">
        <w:rPr>
          <w:rFonts w:ascii="Trebuchet MS" w:hAnsi="Trebuchet MS"/>
          <w:sz w:val="20"/>
          <w:szCs w:val="20"/>
        </w:rPr>
        <w:t>is ook ingericht</w:t>
      </w:r>
      <w:r w:rsidR="00B4129A" w:rsidRPr="009D212F">
        <w:rPr>
          <w:rFonts w:ascii="Trebuchet MS" w:hAnsi="Trebuchet MS"/>
          <w:sz w:val="20"/>
          <w:szCs w:val="20"/>
        </w:rPr>
        <w:t xml:space="preserve"> met een werkomgeving voor de uitstroom PRO/VSO en Entree. </w:t>
      </w:r>
      <w:r w:rsidRPr="009D212F">
        <w:rPr>
          <w:rFonts w:ascii="Trebuchet MS" w:hAnsi="Trebuchet MS"/>
          <w:sz w:val="20"/>
          <w:szCs w:val="20"/>
        </w:rPr>
        <w:t>Hier wordt intensief op ingestoken samen met de gemeenten in de arbeidsmarktregio.</w:t>
      </w:r>
      <w:r w:rsidR="00225140" w:rsidRPr="009D212F">
        <w:rPr>
          <w:rFonts w:ascii="Trebuchet MS" w:hAnsi="Trebuchet MS"/>
          <w:sz w:val="20"/>
          <w:szCs w:val="20"/>
        </w:rPr>
        <w:t xml:space="preserve"> Het systeem is tweezijdig ingericht: </w:t>
      </w:r>
    </w:p>
    <w:p w14:paraId="01E7BBE0" w14:textId="77777777" w:rsidR="00B4129A" w:rsidRPr="009D212F" w:rsidRDefault="00225140" w:rsidP="00225140">
      <w:pPr>
        <w:pStyle w:val="Lijstalinea"/>
        <w:numPr>
          <w:ilvl w:val="0"/>
          <w:numId w:val="8"/>
        </w:numPr>
        <w:spacing w:after="0" w:line="240" w:lineRule="auto"/>
        <w:rPr>
          <w:rFonts w:ascii="Trebuchet MS" w:hAnsi="Trebuchet MS"/>
          <w:sz w:val="20"/>
          <w:szCs w:val="20"/>
        </w:rPr>
      </w:pPr>
      <w:r w:rsidRPr="009D212F">
        <w:rPr>
          <w:rFonts w:ascii="Trebuchet MS" w:hAnsi="Trebuchet MS"/>
          <w:sz w:val="20"/>
          <w:szCs w:val="20"/>
        </w:rPr>
        <w:t xml:space="preserve">Informatie uitwisseling m.b.t. contactpersonen per gemeente en per school (namen, telefoonnummers, e-mailadressen) en dat specifiek bij elke leerling </w:t>
      </w:r>
    </w:p>
    <w:p w14:paraId="321F28EA" w14:textId="77777777" w:rsidR="00225140" w:rsidRPr="009D212F" w:rsidRDefault="00225140" w:rsidP="00225140">
      <w:pPr>
        <w:pStyle w:val="Lijstalinea"/>
        <w:numPr>
          <w:ilvl w:val="0"/>
          <w:numId w:val="8"/>
        </w:numPr>
        <w:spacing w:after="0" w:line="240" w:lineRule="auto"/>
        <w:rPr>
          <w:rFonts w:ascii="Trebuchet MS" w:hAnsi="Trebuchet MS"/>
          <w:sz w:val="20"/>
          <w:szCs w:val="20"/>
        </w:rPr>
      </w:pPr>
      <w:r w:rsidRPr="009D212F">
        <w:rPr>
          <w:rFonts w:ascii="Trebuchet MS" w:hAnsi="Trebuchet MS"/>
          <w:sz w:val="20"/>
          <w:szCs w:val="20"/>
        </w:rPr>
        <w:t>Monitoren van de loopbaan per leerling op de route arbeid/dagbesteding/mbo vanaf 14 jaar t/m 23 jaar</w:t>
      </w:r>
    </w:p>
    <w:p w14:paraId="707156C0" w14:textId="77777777" w:rsidR="00A656BE" w:rsidRPr="009D212F" w:rsidRDefault="00A656BE" w:rsidP="00997DD4">
      <w:pPr>
        <w:spacing w:after="0" w:line="240" w:lineRule="auto"/>
        <w:rPr>
          <w:rFonts w:ascii="Trebuchet MS" w:hAnsi="Trebuchet MS"/>
          <w:sz w:val="20"/>
          <w:szCs w:val="20"/>
        </w:rPr>
      </w:pPr>
    </w:p>
    <w:p w14:paraId="4719E801" w14:textId="77777777" w:rsidR="00F763EC" w:rsidRPr="009D212F" w:rsidRDefault="00F763EC">
      <w:pPr>
        <w:rPr>
          <w:rFonts w:ascii="Trebuchet MS" w:hAnsi="Trebuchet MS"/>
          <w:b/>
          <w:sz w:val="20"/>
          <w:szCs w:val="20"/>
        </w:rPr>
      </w:pPr>
      <w:r w:rsidRPr="009D212F">
        <w:rPr>
          <w:rFonts w:ascii="Trebuchet MS" w:hAnsi="Trebuchet MS"/>
          <w:b/>
          <w:sz w:val="20"/>
          <w:szCs w:val="20"/>
        </w:rPr>
        <w:br w:type="page"/>
      </w:r>
    </w:p>
    <w:p w14:paraId="47E649B3" w14:textId="77777777" w:rsidR="001B6DE4" w:rsidRPr="009D212F" w:rsidRDefault="00F938B4" w:rsidP="00997DD4">
      <w:pPr>
        <w:spacing w:after="0" w:line="240" w:lineRule="auto"/>
        <w:rPr>
          <w:rFonts w:ascii="Trebuchet MS" w:hAnsi="Trebuchet MS"/>
          <w:b/>
          <w:sz w:val="20"/>
          <w:szCs w:val="20"/>
        </w:rPr>
      </w:pPr>
      <w:r w:rsidRPr="009D212F">
        <w:rPr>
          <w:rFonts w:ascii="Trebuchet MS" w:hAnsi="Trebuchet MS"/>
          <w:b/>
          <w:sz w:val="20"/>
          <w:szCs w:val="20"/>
        </w:rPr>
        <w:lastRenderedPageBreak/>
        <w:t>Bijlage</w:t>
      </w:r>
      <w:r w:rsidR="00F763EC" w:rsidRPr="009D212F">
        <w:rPr>
          <w:rFonts w:ascii="Trebuchet MS" w:hAnsi="Trebuchet MS"/>
          <w:b/>
          <w:sz w:val="20"/>
          <w:szCs w:val="20"/>
        </w:rPr>
        <w:t xml:space="preserve"> 1</w:t>
      </w:r>
      <w:r w:rsidRPr="009D212F">
        <w:rPr>
          <w:rFonts w:ascii="Trebuchet MS" w:hAnsi="Trebuchet MS"/>
          <w:b/>
          <w:sz w:val="20"/>
          <w:szCs w:val="20"/>
        </w:rPr>
        <w:t xml:space="preserve"> - </w:t>
      </w:r>
      <w:r w:rsidR="00DA112A" w:rsidRPr="009D212F">
        <w:rPr>
          <w:rFonts w:ascii="Trebuchet MS" w:hAnsi="Trebuchet MS"/>
          <w:b/>
          <w:sz w:val="20"/>
          <w:szCs w:val="20"/>
        </w:rPr>
        <w:t>Toelichting i</w:t>
      </w:r>
      <w:r w:rsidR="001B6DE4" w:rsidRPr="009D212F">
        <w:rPr>
          <w:rFonts w:ascii="Trebuchet MS" w:hAnsi="Trebuchet MS"/>
          <w:b/>
          <w:sz w:val="20"/>
          <w:szCs w:val="20"/>
        </w:rPr>
        <w:t>ntegrale aanpak</w:t>
      </w:r>
    </w:p>
    <w:p w14:paraId="68A641F9" w14:textId="77777777" w:rsidR="0034617B" w:rsidRPr="009D212F" w:rsidRDefault="0034617B" w:rsidP="00997DD4">
      <w:pPr>
        <w:spacing w:after="0" w:line="240" w:lineRule="auto"/>
        <w:rPr>
          <w:rFonts w:ascii="Trebuchet MS" w:eastAsia="Calibri" w:hAnsi="Trebuchet MS" w:cs="Calibri"/>
          <w:sz w:val="20"/>
          <w:szCs w:val="20"/>
          <w:lang w:eastAsia="nl-NL"/>
        </w:rPr>
      </w:pPr>
    </w:p>
    <w:p w14:paraId="4D3DE784" w14:textId="77777777" w:rsidR="00873026" w:rsidRPr="009D212F" w:rsidRDefault="00873026" w:rsidP="00997DD4">
      <w:pPr>
        <w:spacing w:after="0" w:line="240" w:lineRule="auto"/>
        <w:rPr>
          <w:rFonts w:ascii="Trebuchet MS" w:eastAsia="Calibri" w:hAnsi="Trebuchet MS" w:cs="Calibri"/>
          <w:sz w:val="20"/>
          <w:szCs w:val="20"/>
          <w:lang w:eastAsia="nl-NL"/>
        </w:rPr>
      </w:pPr>
      <w:r w:rsidRPr="009D212F">
        <w:rPr>
          <w:rFonts w:ascii="Trebuchet MS" w:eastAsia="Calibri" w:hAnsi="Trebuchet MS" w:cs="Calibri"/>
          <w:sz w:val="20"/>
          <w:szCs w:val="20"/>
          <w:lang w:eastAsia="nl-NL"/>
        </w:rPr>
        <w:t>Inleiding</w:t>
      </w:r>
    </w:p>
    <w:p w14:paraId="5AE788AB" w14:textId="77777777" w:rsidR="00873026" w:rsidRPr="009D212F" w:rsidRDefault="00873026" w:rsidP="00997DD4">
      <w:pPr>
        <w:spacing w:after="0" w:line="240" w:lineRule="auto"/>
        <w:rPr>
          <w:rFonts w:ascii="Trebuchet MS" w:eastAsia="Calibri" w:hAnsi="Trebuchet MS" w:cs="Calibri"/>
          <w:sz w:val="20"/>
          <w:szCs w:val="20"/>
          <w:lang w:eastAsia="nl-NL"/>
        </w:rPr>
      </w:pPr>
      <w:r w:rsidRPr="009D212F">
        <w:rPr>
          <w:rFonts w:ascii="Trebuchet MS" w:eastAsia="Calibri" w:hAnsi="Trebuchet MS" w:cs="Calibri"/>
          <w:sz w:val="20"/>
          <w:szCs w:val="20"/>
          <w:lang w:eastAsia="nl-NL"/>
        </w:rPr>
        <w:t>Met de invoering van de wetgeving Passend Onderwijs, de Jeug</w:t>
      </w:r>
      <w:r w:rsidR="00F938B4" w:rsidRPr="009D212F">
        <w:rPr>
          <w:rFonts w:ascii="Trebuchet MS" w:eastAsia="Calibri" w:hAnsi="Trebuchet MS" w:cs="Calibri"/>
          <w:sz w:val="20"/>
          <w:szCs w:val="20"/>
          <w:lang w:eastAsia="nl-NL"/>
        </w:rPr>
        <w:t>dwet, de Participatiewet, de WMO</w:t>
      </w:r>
      <w:r w:rsidRPr="009D212F">
        <w:rPr>
          <w:rFonts w:ascii="Trebuchet MS" w:eastAsia="Calibri" w:hAnsi="Trebuchet MS" w:cs="Calibri"/>
          <w:sz w:val="20"/>
          <w:szCs w:val="20"/>
          <w:lang w:eastAsia="nl-NL"/>
        </w:rPr>
        <w:t xml:space="preserve"> en de Wet Meldcode hebben scholen en gemeenten nieuwe taken en bevoegdheden gekregen die mogelijkheden bieden om op (sub)regionaal- en lokaalniveau samen te werken en preventie en ondersteuning op maat aan te bieden aan jeugdigen en hun ouders. Hierdoor ontstaat ruimte voor een nieuwe manier van werken waarbij de zelfredzaamheid en zelfregie van de jeugdigen en hun ouders centraal staat. </w:t>
      </w:r>
    </w:p>
    <w:p w14:paraId="7F730087" w14:textId="77777777" w:rsidR="00873026" w:rsidRPr="009D212F" w:rsidRDefault="00873026" w:rsidP="00997DD4">
      <w:pPr>
        <w:spacing w:after="0" w:line="240" w:lineRule="auto"/>
        <w:rPr>
          <w:rFonts w:ascii="Trebuchet MS" w:eastAsia="Calibri" w:hAnsi="Trebuchet MS" w:cs="Calibri"/>
          <w:sz w:val="20"/>
          <w:szCs w:val="20"/>
          <w:lang w:eastAsia="nl-NL"/>
        </w:rPr>
      </w:pPr>
      <w:r w:rsidRPr="009D212F">
        <w:rPr>
          <w:rFonts w:ascii="Trebuchet MS" w:eastAsia="Calibri" w:hAnsi="Trebuchet MS" w:cs="Calibri"/>
          <w:sz w:val="20"/>
          <w:szCs w:val="20"/>
          <w:lang w:eastAsia="nl-NL"/>
        </w:rPr>
        <w:t xml:space="preserve">Binnen de gemeenten en scholen van samenwerkingsverbanden is een aantal leerlingen dat op dit moment onvoldoende kan profiteren van een integraal onderwijs-zorgaanbod. Op basis van diverse casuïstiekbesprekingen zijn knelpunten gesignaleerd in de samenwerking. </w:t>
      </w:r>
      <w:r w:rsidRPr="009D212F">
        <w:rPr>
          <w:rFonts w:ascii="Trebuchet MS" w:eastAsia="Calibri" w:hAnsi="Trebuchet MS" w:cs="Calibri"/>
          <w:sz w:val="20"/>
          <w:szCs w:val="20"/>
          <w:lang w:eastAsia="nl-NL"/>
        </w:rPr>
        <w:br/>
        <w:t> </w:t>
      </w:r>
    </w:p>
    <w:p w14:paraId="79E83745" w14:textId="77777777" w:rsidR="00873026" w:rsidRPr="009D212F" w:rsidRDefault="00873026" w:rsidP="00997DD4">
      <w:pPr>
        <w:spacing w:after="0" w:line="240" w:lineRule="auto"/>
        <w:rPr>
          <w:rFonts w:ascii="Trebuchet MS" w:eastAsia="Calibri" w:hAnsi="Trebuchet MS" w:cs="Calibri"/>
          <w:sz w:val="20"/>
          <w:szCs w:val="20"/>
          <w:lang w:eastAsia="nl-NL"/>
        </w:rPr>
      </w:pPr>
      <w:r w:rsidRPr="009D212F">
        <w:rPr>
          <w:rFonts w:ascii="Trebuchet MS" w:eastAsia="Calibri" w:hAnsi="Trebuchet MS" w:cs="Calibri"/>
          <w:sz w:val="20"/>
          <w:szCs w:val="20"/>
          <w:lang w:eastAsia="nl-NL"/>
        </w:rPr>
        <w:t>In samenwerking met</w:t>
      </w:r>
      <w:r w:rsidR="00F938B4" w:rsidRPr="009D212F">
        <w:rPr>
          <w:rFonts w:ascii="Trebuchet MS" w:eastAsia="Calibri" w:hAnsi="Trebuchet MS" w:cs="Calibri"/>
          <w:sz w:val="20"/>
          <w:szCs w:val="20"/>
          <w:lang w:eastAsia="nl-NL"/>
        </w:rPr>
        <w:t xml:space="preserve"> alle partners wordt er (lokaal) </w:t>
      </w:r>
      <w:r w:rsidRPr="009D212F">
        <w:rPr>
          <w:rFonts w:ascii="Trebuchet MS" w:eastAsia="Calibri" w:hAnsi="Trebuchet MS" w:cs="Calibri"/>
          <w:sz w:val="20"/>
          <w:szCs w:val="20"/>
          <w:lang w:eastAsia="nl-NL"/>
        </w:rPr>
        <w:t xml:space="preserve">gewerkt aan het </w:t>
      </w:r>
      <w:proofErr w:type="spellStart"/>
      <w:r w:rsidRPr="009D212F">
        <w:rPr>
          <w:rFonts w:ascii="Trebuchet MS" w:eastAsia="Calibri" w:hAnsi="Trebuchet MS" w:cs="Calibri"/>
          <w:sz w:val="20"/>
          <w:szCs w:val="20"/>
          <w:lang w:eastAsia="nl-NL"/>
        </w:rPr>
        <w:t>doorontwikkelen</w:t>
      </w:r>
      <w:proofErr w:type="spellEnd"/>
      <w:r w:rsidRPr="009D212F">
        <w:rPr>
          <w:rFonts w:ascii="Trebuchet MS" w:eastAsia="Calibri" w:hAnsi="Trebuchet MS" w:cs="Calibri"/>
          <w:sz w:val="20"/>
          <w:szCs w:val="20"/>
          <w:lang w:eastAsia="nl-NL"/>
        </w:rPr>
        <w:t xml:space="preserve"> van de samenwerking in de vorm van een integrale aanpak om hiermee deze leerlingen middels zo kort als mogelijke en zo lang als nodige ondersteuning te kunnen laten profiteren van een onderwijs-zorgaanbod binnen de reguliere en (V)SO-scholen van de samenwerkingsverbanden.</w:t>
      </w:r>
    </w:p>
    <w:p w14:paraId="5C9D5890" w14:textId="77777777" w:rsidR="00873026" w:rsidRPr="009D212F" w:rsidRDefault="00F938B4" w:rsidP="00997DD4">
      <w:pPr>
        <w:spacing w:after="0" w:line="240" w:lineRule="auto"/>
        <w:rPr>
          <w:rFonts w:ascii="Trebuchet MS" w:eastAsia="Calibri" w:hAnsi="Trebuchet MS" w:cs="Calibri"/>
          <w:sz w:val="20"/>
          <w:szCs w:val="20"/>
          <w:lang w:eastAsia="nl-NL"/>
        </w:rPr>
      </w:pPr>
      <w:r w:rsidRPr="009D212F">
        <w:rPr>
          <w:rFonts w:ascii="Trebuchet MS" w:eastAsia="Calibri" w:hAnsi="Trebuchet MS" w:cs="Calibri"/>
          <w:sz w:val="20"/>
          <w:szCs w:val="20"/>
          <w:lang w:eastAsia="nl-NL"/>
        </w:rPr>
        <w:t>In de bestuurlijke overeenkomst staat</w:t>
      </w:r>
      <w:r w:rsidR="00873026" w:rsidRPr="009D212F">
        <w:rPr>
          <w:rFonts w:ascii="Trebuchet MS" w:eastAsia="Calibri" w:hAnsi="Trebuchet MS" w:cs="Calibri"/>
          <w:sz w:val="20"/>
          <w:szCs w:val="20"/>
          <w:lang w:eastAsia="nl-NL"/>
        </w:rPr>
        <w:t xml:space="preserve"> het streven om de overlap in bekostiging en aanbod van een aantal van de activiteiten beter op elkaar af te stemmen en waar mogelijk uit de reguliere gelden van het onderwijs of de gemeenten te bekostigen. </w:t>
      </w:r>
    </w:p>
    <w:p w14:paraId="1B5B67F4" w14:textId="77777777" w:rsidR="00873026" w:rsidRPr="009D212F" w:rsidRDefault="00873026" w:rsidP="00997DD4">
      <w:pPr>
        <w:spacing w:after="0" w:line="240" w:lineRule="auto"/>
        <w:rPr>
          <w:rFonts w:ascii="Trebuchet MS" w:eastAsia="Calibri" w:hAnsi="Trebuchet MS" w:cs="Calibri"/>
          <w:sz w:val="20"/>
          <w:szCs w:val="20"/>
          <w:lang w:eastAsia="nl-NL"/>
        </w:rPr>
      </w:pPr>
    </w:p>
    <w:p w14:paraId="1CAFB4BD" w14:textId="77777777" w:rsidR="00873026" w:rsidRPr="009D212F" w:rsidRDefault="00873026" w:rsidP="00997DD4">
      <w:pPr>
        <w:spacing w:after="0" w:line="240" w:lineRule="auto"/>
        <w:rPr>
          <w:rFonts w:ascii="Trebuchet MS" w:eastAsia="Calibri" w:hAnsi="Trebuchet MS" w:cs="Calibri"/>
          <w:sz w:val="20"/>
          <w:szCs w:val="20"/>
          <w:lang w:eastAsia="nl-NL"/>
        </w:rPr>
      </w:pPr>
      <w:r w:rsidRPr="009D212F">
        <w:rPr>
          <w:rFonts w:ascii="Trebuchet MS" w:eastAsia="Calibri" w:hAnsi="Trebuchet MS" w:cs="Calibri"/>
          <w:bCs/>
          <w:sz w:val="20"/>
          <w:szCs w:val="20"/>
          <w:lang w:eastAsia="nl-NL"/>
        </w:rPr>
        <w:t xml:space="preserve">Wet </w:t>
      </w:r>
    </w:p>
    <w:p w14:paraId="1BB579E0" w14:textId="77777777" w:rsidR="00873026" w:rsidRPr="009D212F" w:rsidRDefault="00873026" w:rsidP="00997DD4">
      <w:pPr>
        <w:spacing w:after="0" w:line="240" w:lineRule="auto"/>
        <w:rPr>
          <w:rFonts w:ascii="Trebuchet MS" w:eastAsia="Calibri" w:hAnsi="Trebuchet MS" w:cs="Calibri"/>
          <w:sz w:val="20"/>
          <w:szCs w:val="20"/>
          <w:lang w:eastAsia="nl-NL"/>
        </w:rPr>
      </w:pPr>
      <w:r w:rsidRPr="009D212F">
        <w:rPr>
          <w:rFonts w:ascii="Trebuchet MS" w:eastAsia="Calibri" w:hAnsi="Trebuchet MS" w:cs="Calibri"/>
          <w:sz w:val="20"/>
          <w:szCs w:val="20"/>
          <w:lang w:eastAsia="nl-NL"/>
        </w:rPr>
        <w:t xml:space="preserve">Gemeenten en schoolbesturen hebben de verantwoordelijkheid de ondersteuning aan een kind of gezin af te stemmen met andere voorzieningen op het gebied van zorg, onderwijs, maatschappelijke ondersteuning en werk en inkomen. </w:t>
      </w:r>
    </w:p>
    <w:p w14:paraId="1C11373B" w14:textId="77777777" w:rsidR="00873026" w:rsidRPr="009D212F" w:rsidRDefault="00873026" w:rsidP="00997DD4">
      <w:pPr>
        <w:spacing w:after="0" w:line="240" w:lineRule="auto"/>
        <w:ind w:firstLine="708"/>
        <w:rPr>
          <w:rFonts w:ascii="Trebuchet MS" w:eastAsia="Calibri" w:hAnsi="Trebuchet MS" w:cs="Calibri"/>
          <w:sz w:val="20"/>
          <w:szCs w:val="20"/>
          <w:lang w:eastAsia="nl-NL"/>
        </w:rPr>
      </w:pPr>
      <w:r w:rsidRPr="009D212F">
        <w:rPr>
          <w:rFonts w:ascii="Trebuchet MS" w:eastAsia="Calibri" w:hAnsi="Trebuchet MS" w:cs="Calibri"/>
          <w:sz w:val="20"/>
          <w:szCs w:val="20"/>
          <w:lang w:eastAsia="nl-NL"/>
        </w:rPr>
        <w:t>Artikel 2.2. 3</w:t>
      </w:r>
      <w:r w:rsidRPr="009D212F">
        <w:rPr>
          <w:rFonts w:ascii="Trebuchet MS" w:eastAsia="Calibri" w:hAnsi="Trebuchet MS" w:cs="Calibri"/>
          <w:sz w:val="20"/>
          <w:szCs w:val="20"/>
          <w:vertAlign w:val="superscript"/>
          <w:lang w:eastAsia="nl-NL"/>
        </w:rPr>
        <w:t>e</w:t>
      </w:r>
      <w:r w:rsidRPr="009D212F">
        <w:rPr>
          <w:rFonts w:ascii="Trebuchet MS" w:eastAsia="Calibri" w:hAnsi="Trebuchet MS" w:cs="Calibri"/>
          <w:sz w:val="20"/>
          <w:szCs w:val="20"/>
          <w:lang w:eastAsia="nl-NL"/>
        </w:rPr>
        <w:t xml:space="preserve"> lid van de Jeugdwet </w:t>
      </w:r>
    </w:p>
    <w:p w14:paraId="5B809664" w14:textId="77777777" w:rsidR="00873026" w:rsidRPr="009D212F" w:rsidRDefault="00873026" w:rsidP="00997DD4">
      <w:pPr>
        <w:spacing w:after="0" w:line="240" w:lineRule="auto"/>
        <w:ind w:firstLine="708"/>
        <w:rPr>
          <w:rFonts w:ascii="Trebuchet MS" w:eastAsia="Calibri" w:hAnsi="Trebuchet MS" w:cs="Calibri"/>
          <w:sz w:val="20"/>
          <w:szCs w:val="20"/>
          <w:lang w:eastAsia="nl-NL"/>
        </w:rPr>
      </w:pPr>
      <w:r w:rsidRPr="009D212F">
        <w:rPr>
          <w:rFonts w:ascii="Trebuchet MS" w:eastAsia="Calibri" w:hAnsi="Trebuchet MS" w:cs="Calibri"/>
          <w:sz w:val="20"/>
          <w:szCs w:val="20"/>
          <w:lang w:eastAsia="nl-NL"/>
        </w:rPr>
        <w:t>Artikel 17b Wet op het voortgezet onderwijs</w:t>
      </w:r>
    </w:p>
    <w:p w14:paraId="6F1670DD" w14:textId="77777777" w:rsidR="00873026" w:rsidRPr="009D212F" w:rsidRDefault="00873026" w:rsidP="00997DD4">
      <w:pPr>
        <w:spacing w:after="0" w:line="240" w:lineRule="auto"/>
        <w:ind w:firstLine="708"/>
        <w:rPr>
          <w:rFonts w:ascii="Trebuchet MS" w:eastAsia="Calibri" w:hAnsi="Trebuchet MS" w:cs="Calibri"/>
          <w:sz w:val="20"/>
          <w:szCs w:val="20"/>
          <w:lang w:eastAsia="nl-NL"/>
        </w:rPr>
      </w:pPr>
      <w:r w:rsidRPr="009D212F">
        <w:rPr>
          <w:rFonts w:ascii="Trebuchet MS" w:eastAsia="Calibri" w:hAnsi="Trebuchet MS" w:cs="Calibri"/>
          <w:sz w:val="20"/>
          <w:szCs w:val="20"/>
          <w:lang w:eastAsia="nl-NL"/>
        </w:rPr>
        <w:t>Artikel 18a van de Wet op het primair onderwijs.</w:t>
      </w:r>
    </w:p>
    <w:p w14:paraId="4AF4B5C3" w14:textId="77777777" w:rsidR="0034617B" w:rsidRPr="009D212F" w:rsidRDefault="00873026" w:rsidP="00997DD4">
      <w:pPr>
        <w:spacing w:after="0" w:line="240" w:lineRule="auto"/>
        <w:rPr>
          <w:rFonts w:ascii="Trebuchet MS" w:eastAsia="Times New Roman" w:hAnsi="Trebuchet MS" w:cs="Calibri"/>
          <w:sz w:val="20"/>
          <w:szCs w:val="20"/>
          <w:lang w:eastAsia="nl-NL"/>
        </w:rPr>
      </w:pPr>
      <w:r w:rsidRPr="009D212F">
        <w:rPr>
          <w:rFonts w:ascii="Trebuchet MS" w:eastAsia="Times New Roman" w:hAnsi="Trebuchet MS" w:cs="Calibri"/>
          <w:sz w:val="20"/>
          <w:szCs w:val="20"/>
          <w:lang w:eastAsia="nl-NL"/>
        </w:rPr>
        <w:br/>
      </w:r>
      <w:r w:rsidR="0034617B" w:rsidRPr="009D212F">
        <w:rPr>
          <w:rFonts w:ascii="Trebuchet MS" w:eastAsia="Times New Roman" w:hAnsi="Trebuchet MS" w:cs="Calibri"/>
          <w:sz w:val="20"/>
          <w:szCs w:val="20"/>
          <w:lang w:eastAsia="nl-NL"/>
        </w:rPr>
        <w:t>Uitgangspunten</w:t>
      </w:r>
    </w:p>
    <w:p w14:paraId="28EDCDD6" w14:textId="46213AB1" w:rsidR="00873026" w:rsidRPr="009D212F" w:rsidRDefault="0034617B" w:rsidP="00997DD4">
      <w:pPr>
        <w:spacing w:after="0" w:line="240" w:lineRule="auto"/>
        <w:rPr>
          <w:rFonts w:ascii="Trebuchet MS" w:eastAsia="Times New Roman" w:hAnsi="Trebuchet MS" w:cs="Calibri"/>
          <w:sz w:val="20"/>
          <w:szCs w:val="20"/>
          <w:lang w:eastAsia="nl-NL"/>
        </w:rPr>
      </w:pPr>
      <w:r w:rsidRPr="009D212F">
        <w:rPr>
          <w:rFonts w:ascii="Trebuchet MS" w:eastAsia="Times New Roman" w:hAnsi="Trebuchet MS" w:cs="Calibri"/>
          <w:sz w:val="20"/>
          <w:szCs w:val="20"/>
          <w:lang w:eastAsia="nl-NL"/>
        </w:rPr>
        <w:t xml:space="preserve">In de uitwerking van de bestuurlijke overeenkomst VSV </w:t>
      </w:r>
      <w:r w:rsidR="00873026" w:rsidRPr="009D212F">
        <w:rPr>
          <w:rFonts w:ascii="Trebuchet MS" w:eastAsia="Times New Roman" w:hAnsi="Trebuchet MS" w:cs="Calibri"/>
          <w:sz w:val="20"/>
          <w:szCs w:val="20"/>
          <w:lang w:eastAsia="nl-NL"/>
        </w:rPr>
        <w:t>is het uitgangspunt om integrale samenwerking vorm te geven middels één gezin, één plan, één regisseur door:</w:t>
      </w:r>
    </w:p>
    <w:p w14:paraId="45FE55F8" w14:textId="77777777" w:rsidR="00873026" w:rsidRPr="009D212F" w:rsidRDefault="00873026" w:rsidP="00997DD4">
      <w:pPr>
        <w:pStyle w:val="Lijstalinea"/>
        <w:numPr>
          <w:ilvl w:val="0"/>
          <w:numId w:val="6"/>
        </w:numPr>
        <w:spacing w:after="0" w:line="240" w:lineRule="auto"/>
        <w:rPr>
          <w:rFonts w:ascii="Trebuchet MS" w:eastAsia="Times New Roman" w:hAnsi="Trebuchet MS" w:cs="Calibri"/>
          <w:sz w:val="20"/>
          <w:szCs w:val="20"/>
          <w:lang w:eastAsia="nl-NL"/>
        </w:rPr>
      </w:pPr>
      <w:r w:rsidRPr="009D212F">
        <w:rPr>
          <w:rFonts w:ascii="Trebuchet MS" w:eastAsia="Times New Roman" w:hAnsi="Trebuchet MS" w:cs="Calibri"/>
          <w:sz w:val="20"/>
          <w:szCs w:val="20"/>
          <w:lang w:eastAsia="nl-NL"/>
        </w:rPr>
        <w:t>geen ‘nieuwe voorziening’ te creëren voor een paar jongeren, maar aanvullend te zijn op een bestaand traject binnen onderwijs en/of jeugdhulp;</w:t>
      </w:r>
    </w:p>
    <w:p w14:paraId="4934F305" w14:textId="77777777" w:rsidR="00873026" w:rsidRPr="009D212F" w:rsidRDefault="00873026" w:rsidP="00997DD4">
      <w:pPr>
        <w:numPr>
          <w:ilvl w:val="0"/>
          <w:numId w:val="7"/>
        </w:numPr>
        <w:spacing w:after="0" w:line="240" w:lineRule="auto"/>
        <w:rPr>
          <w:rFonts w:ascii="Trebuchet MS" w:eastAsia="Times New Roman" w:hAnsi="Trebuchet MS" w:cs="Calibri"/>
          <w:sz w:val="20"/>
          <w:szCs w:val="20"/>
          <w:lang w:eastAsia="nl-NL"/>
        </w:rPr>
      </w:pPr>
      <w:r w:rsidRPr="009D212F">
        <w:rPr>
          <w:rFonts w:ascii="Trebuchet MS" w:eastAsia="Times New Roman" w:hAnsi="Trebuchet MS" w:cs="Calibri"/>
          <w:sz w:val="20"/>
          <w:szCs w:val="20"/>
          <w:lang w:eastAsia="nl-NL"/>
        </w:rPr>
        <w:t>de benodigde (specialistische) expertise die reeds beschikbaar is en past bij de ondersteuningsvraag van de jongeren binnen de gemeente en schoolbesturen te bundelen en zo efficiënt mogelijk in te zetten;</w:t>
      </w:r>
    </w:p>
    <w:p w14:paraId="0F5BDE30" w14:textId="77777777" w:rsidR="00873026" w:rsidRPr="009D212F" w:rsidRDefault="00873026" w:rsidP="00997DD4">
      <w:pPr>
        <w:numPr>
          <w:ilvl w:val="0"/>
          <w:numId w:val="7"/>
        </w:numPr>
        <w:spacing w:after="0" w:line="240" w:lineRule="auto"/>
        <w:rPr>
          <w:rFonts w:ascii="Trebuchet MS" w:eastAsia="Times New Roman" w:hAnsi="Trebuchet MS" w:cs="Calibri"/>
          <w:sz w:val="20"/>
          <w:szCs w:val="20"/>
          <w:lang w:eastAsia="nl-NL"/>
        </w:rPr>
      </w:pPr>
      <w:r w:rsidRPr="009D212F">
        <w:rPr>
          <w:rFonts w:ascii="Trebuchet MS" w:eastAsia="Times New Roman" w:hAnsi="Trebuchet MS" w:cs="Calibri"/>
          <w:sz w:val="20"/>
          <w:szCs w:val="20"/>
          <w:lang w:eastAsia="nl-NL"/>
        </w:rPr>
        <w:t>meer jongeren thuisnabijer te ondersteunen;</w:t>
      </w:r>
    </w:p>
    <w:p w14:paraId="526782F8" w14:textId="77777777" w:rsidR="00873026" w:rsidRPr="009D212F" w:rsidRDefault="00873026" w:rsidP="00997DD4">
      <w:pPr>
        <w:numPr>
          <w:ilvl w:val="0"/>
          <w:numId w:val="7"/>
        </w:numPr>
        <w:spacing w:after="0" w:line="240" w:lineRule="auto"/>
        <w:rPr>
          <w:rFonts w:ascii="Trebuchet MS" w:eastAsia="Times New Roman" w:hAnsi="Trebuchet MS" w:cs="Calibri"/>
          <w:sz w:val="20"/>
          <w:szCs w:val="20"/>
          <w:lang w:eastAsia="nl-NL"/>
        </w:rPr>
      </w:pPr>
      <w:r w:rsidRPr="009D212F">
        <w:rPr>
          <w:rFonts w:ascii="Trebuchet MS" w:eastAsia="Times New Roman" w:hAnsi="Trebuchet MS" w:cs="Times New Roman"/>
          <w:sz w:val="20"/>
          <w:szCs w:val="20"/>
          <w:lang w:eastAsia="nl-NL"/>
        </w:rPr>
        <w:t>preventiever in te zetten in het ondersteunen in de basis (gezin, school).</w:t>
      </w:r>
      <w:r w:rsidRPr="009D212F">
        <w:rPr>
          <w:rFonts w:ascii="Trebuchet MS" w:eastAsia="Times New Roman" w:hAnsi="Trebuchet MS" w:cs="Calibri"/>
          <w:sz w:val="20"/>
          <w:szCs w:val="20"/>
          <w:lang w:eastAsia="nl-NL"/>
        </w:rPr>
        <w:t xml:space="preserve"> </w:t>
      </w:r>
    </w:p>
    <w:p w14:paraId="68185263" w14:textId="77777777" w:rsidR="00DA112A" w:rsidRPr="009D212F" w:rsidRDefault="00DA112A" w:rsidP="00997DD4">
      <w:pPr>
        <w:spacing w:after="0" w:line="240" w:lineRule="auto"/>
        <w:rPr>
          <w:rFonts w:ascii="Trebuchet MS" w:hAnsi="Trebuchet MS"/>
          <w:b/>
          <w:sz w:val="20"/>
          <w:szCs w:val="20"/>
        </w:rPr>
      </w:pPr>
    </w:p>
    <w:p w14:paraId="081D8832" w14:textId="77777777" w:rsidR="00546290" w:rsidRDefault="00546290" w:rsidP="00997DD4">
      <w:pPr>
        <w:spacing w:after="0" w:line="240" w:lineRule="auto"/>
        <w:rPr>
          <w:rFonts w:ascii="Trebuchet MS" w:hAnsi="Trebuchet MS"/>
          <w:sz w:val="20"/>
          <w:szCs w:val="20"/>
        </w:rPr>
      </w:pPr>
    </w:p>
    <w:p w14:paraId="6DCDC8E1" w14:textId="67300A7F" w:rsidR="001B6DE4" w:rsidRPr="00C2771C" w:rsidRDefault="00B542B1" w:rsidP="00997DD4">
      <w:pPr>
        <w:spacing w:after="0" w:line="240" w:lineRule="auto"/>
        <w:rPr>
          <w:rFonts w:ascii="Trebuchet MS" w:hAnsi="Trebuchet MS"/>
          <w:b/>
          <w:sz w:val="20"/>
          <w:szCs w:val="20"/>
        </w:rPr>
      </w:pPr>
      <w:r w:rsidRPr="00C2771C">
        <w:rPr>
          <w:rFonts w:ascii="Trebuchet MS" w:hAnsi="Trebuchet MS"/>
          <w:b/>
          <w:sz w:val="20"/>
          <w:szCs w:val="20"/>
        </w:rPr>
        <w:t xml:space="preserve">Uitvoering </w:t>
      </w:r>
      <w:r w:rsidR="00013484">
        <w:rPr>
          <w:rFonts w:ascii="Trebuchet MS" w:hAnsi="Trebuchet MS"/>
          <w:b/>
          <w:sz w:val="20"/>
          <w:szCs w:val="20"/>
        </w:rPr>
        <w:t>binnen</w:t>
      </w:r>
      <w:r w:rsidR="00C2771C">
        <w:rPr>
          <w:rFonts w:ascii="Trebuchet MS" w:hAnsi="Trebuchet MS"/>
          <w:b/>
          <w:sz w:val="20"/>
          <w:szCs w:val="20"/>
        </w:rPr>
        <w:t xml:space="preserve"> </w:t>
      </w:r>
      <w:r w:rsidR="00CB6EDB">
        <w:rPr>
          <w:rFonts w:ascii="Trebuchet MS" w:hAnsi="Trebuchet MS"/>
          <w:b/>
          <w:sz w:val="20"/>
          <w:szCs w:val="20"/>
        </w:rPr>
        <w:t xml:space="preserve">Samenwerkingsverband VO Groningen Stad </w:t>
      </w:r>
    </w:p>
    <w:p w14:paraId="0AA04891" w14:textId="0128228B" w:rsidR="00B542B1" w:rsidRPr="009D212F" w:rsidRDefault="00546290" w:rsidP="00997DD4">
      <w:pPr>
        <w:spacing w:after="0" w:line="240" w:lineRule="auto"/>
        <w:rPr>
          <w:rFonts w:ascii="Trebuchet MS" w:eastAsia="Calibri" w:hAnsi="Trebuchet MS" w:cs="Calibri"/>
          <w:sz w:val="20"/>
          <w:szCs w:val="20"/>
          <w:lang w:eastAsia="nl-NL"/>
        </w:rPr>
      </w:pPr>
      <w:r>
        <w:rPr>
          <w:rFonts w:ascii="Trebuchet MS" w:eastAsia="Calibri" w:hAnsi="Trebuchet MS" w:cs="Calibri"/>
          <w:sz w:val="20"/>
          <w:szCs w:val="20"/>
          <w:lang w:eastAsia="nl-NL"/>
        </w:rPr>
        <w:t>De nu beschikbare VSV-</w:t>
      </w:r>
      <w:r w:rsidR="00B542B1" w:rsidRPr="009D212F">
        <w:rPr>
          <w:rFonts w:ascii="Trebuchet MS" w:eastAsia="Calibri" w:hAnsi="Trebuchet MS" w:cs="Calibri"/>
          <w:sz w:val="20"/>
          <w:szCs w:val="20"/>
          <w:lang w:eastAsia="nl-NL"/>
        </w:rPr>
        <w:t>middelen voor de integrale aanpak zijn beschikbaar voor initiatieven zoals Maatwerk cluster 3 en Maatwerk PrO en kunnen incidenteel worden ingezet op (intensieve) trajecten voor 18- en 18+ jongeren die niet zijn ingekocht via het onderwijs, de Jeugdhulp en/of WMO. Hiermee is er een mogelijkheid de VSV inzet aanvullend te laten zijn op de reeds beschikbare maatregelen binnen gemeenten en onderwijs. Scholen kunnen hier een beroep op doen bij het S</w:t>
      </w:r>
      <w:r w:rsidR="00CB6EDB">
        <w:rPr>
          <w:rFonts w:ascii="Trebuchet MS" w:eastAsia="Calibri" w:hAnsi="Trebuchet MS" w:cs="Calibri"/>
          <w:sz w:val="20"/>
          <w:szCs w:val="20"/>
          <w:lang w:eastAsia="nl-NL"/>
        </w:rPr>
        <w:t>W</w:t>
      </w:r>
      <w:r w:rsidR="00B542B1" w:rsidRPr="009D212F">
        <w:rPr>
          <w:rFonts w:ascii="Trebuchet MS" w:eastAsia="Calibri" w:hAnsi="Trebuchet MS" w:cs="Calibri"/>
          <w:sz w:val="20"/>
          <w:szCs w:val="20"/>
          <w:lang w:eastAsia="nl-NL"/>
        </w:rPr>
        <w:t>V (via ECT en directie) indien de inzet niet binnen de bestaande arrangementen en/of Jeugdhulp</w:t>
      </w:r>
      <w:r w:rsidR="00225140" w:rsidRPr="009D212F">
        <w:rPr>
          <w:rFonts w:ascii="Trebuchet MS" w:eastAsia="Calibri" w:hAnsi="Trebuchet MS" w:cs="Calibri"/>
          <w:sz w:val="20"/>
          <w:szCs w:val="20"/>
          <w:lang w:eastAsia="nl-NL"/>
        </w:rPr>
        <w:t xml:space="preserve"> past</w:t>
      </w:r>
      <w:r w:rsidR="00B542B1" w:rsidRPr="009D212F">
        <w:rPr>
          <w:rFonts w:ascii="Trebuchet MS" w:eastAsia="Calibri" w:hAnsi="Trebuchet MS" w:cs="Calibri"/>
          <w:sz w:val="20"/>
          <w:szCs w:val="20"/>
          <w:lang w:eastAsia="nl-NL"/>
        </w:rPr>
        <w:t>.</w:t>
      </w:r>
    </w:p>
    <w:p w14:paraId="420C9AA6" w14:textId="77777777" w:rsidR="00546290" w:rsidRDefault="00546290" w:rsidP="00997DD4">
      <w:pPr>
        <w:spacing w:after="0" w:line="240" w:lineRule="auto"/>
        <w:rPr>
          <w:rFonts w:ascii="Trebuchet MS" w:eastAsia="Calibri" w:hAnsi="Trebuchet MS" w:cs="Calibri"/>
          <w:sz w:val="20"/>
          <w:szCs w:val="20"/>
          <w:lang w:eastAsia="nl-NL"/>
        </w:rPr>
      </w:pPr>
    </w:p>
    <w:p w14:paraId="274ED111" w14:textId="77777777" w:rsidR="00013484" w:rsidRDefault="00013484">
      <w:pPr>
        <w:rPr>
          <w:rFonts w:ascii="Trebuchet MS" w:hAnsi="Trebuchet MS"/>
          <w:b/>
          <w:sz w:val="20"/>
          <w:szCs w:val="20"/>
        </w:rPr>
      </w:pPr>
      <w:r>
        <w:rPr>
          <w:rFonts w:ascii="Trebuchet MS" w:hAnsi="Trebuchet MS"/>
          <w:b/>
          <w:sz w:val="20"/>
          <w:szCs w:val="20"/>
        </w:rPr>
        <w:br w:type="page"/>
      </w:r>
    </w:p>
    <w:p w14:paraId="501DC546" w14:textId="390F9EE0" w:rsidR="001B6DE4" w:rsidRPr="009D212F" w:rsidRDefault="00F763EC" w:rsidP="00997DD4">
      <w:pPr>
        <w:spacing w:after="0" w:line="240" w:lineRule="auto"/>
        <w:rPr>
          <w:rFonts w:ascii="Trebuchet MS" w:hAnsi="Trebuchet MS"/>
          <w:b/>
          <w:sz w:val="20"/>
          <w:szCs w:val="20"/>
        </w:rPr>
      </w:pPr>
      <w:bookmarkStart w:id="0" w:name="_GoBack"/>
      <w:bookmarkEnd w:id="0"/>
      <w:r w:rsidRPr="009D212F">
        <w:rPr>
          <w:rFonts w:ascii="Trebuchet MS" w:hAnsi="Trebuchet MS"/>
          <w:b/>
          <w:sz w:val="20"/>
          <w:szCs w:val="20"/>
        </w:rPr>
        <w:lastRenderedPageBreak/>
        <w:t>Bijlage 2 – Overzicht van de toekenning prestatiemiddelen</w:t>
      </w:r>
    </w:p>
    <w:p w14:paraId="2125F1C9" w14:textId="77777777" w:rsidR="00F763EC" w:rsidRPr="009D212F" w:rsidRDefault="00F763EC" w:rsidP="00997DD4">
      <w:pPr>
        <w:spacing w:after="0" w:line="240" w:lineRule="auto"/>
        <w:rPr>
          <w:rFonts w:ascii="Trebuchet MS" w:hAnsi="Trebuchet MS"/>
          <w:sz w:val="20"/>
          <w:szCs w:val="20"/>
        </w:rPr>
      </w:pPr>
    </w:p>
    <w:p w14:paraId="47B98050"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NB De PrO en VSO scholen vallen niet binnen de regeling prestatiemiddelen.</w:t>
      </w:r>
    </w:p>
    <w:p w14:paraId="327C642A" w14:textId="77777777" w:rsidR="00F763EC" w:rsidRPr="009D212F" w:rsidRDefault="00F763EC" w:rsidP="00997DD4">
      <w:pPr>
        <w:spacing w:after="0" w:line="240" w:lineRule="auto"/>
        <w:rPr>
          <w:rFonts w:ascii="Trebuchet MS" w:hAnsi="Trebuchet MS"/>
          <w:b/>
          <w:sz w:val="20"/>
          <w:szCs w:val="20"/>
        </w:rPr>
      </w:pPr>
    </w:p>
    <w:p w14:paraId="691B76B2" w14:textId="77777777" w:rsidR="00F763EC" w:rsidRPr="009D212F" w:rsidRDefault="00F763EC" w:rsidP="00F763EC">
      <w:pPr>
        <w:spacing w:after="0" w:line="240" w:lineRule="auto"/>
        <w:rPr>
          <w:rFonts w:ascii="Trebuchet MS" w:hAnsi="Trebuchet MS"/>
          <w:b/>
          <w:sz w:val="20"/>
          <w:szCs w:val="20"/>
          <w:u w:val="single"/>
        </w:rPr>
      </w:pPr>
      <w:r w:rsidRPr="009D212F">
        <w:rPr>
          <w:rFonts w:ascii="Trebuchet MS" w:hAnsi="Trebuchet MS"/>
          <w:b/>
          <w:sz w:val="20"/>
          <w:szCs w:val="20"/>
          <w:u w:val="single"/>
        </w:rPr>
        <w:t xml:space="preserve">Vaste voet </w:t>
      </w:r>
    </w:p>
    <w:p w14:paraId="5DA589E4" w14:textId="77777777" w:rsidR="00F763EC" w:rsidRPr="009D212F" w:rsidRDefault="00F763EC" w:rsidP="00F763EC">
      <w:pPr>
        <w:spacing w:after="0" w:line="240" w:lineRule="auto"/>
        <w:rPr>
          <w:rFonts w:ascii="Trebuchet MS" w:hAnsi="Trebuchet MS"/>
          <w:b/>
          <w:sz w:val="20"/>
          <w:szCs w:val="20"/>
        </w:rPr>
      </w:pPr>
      <w:r w:rsidRPr="009D212F">
        <w:rPr>
          <w:rFonts w:ascii="Trebuchet MS" w:hAnsi="Trebuchet MS"/>
          <w:b/>
          <w:sz w:val="20"/>
          <w:szCs w:val="20"/>
        </w:rPr>
        <w:t>Maximumbedragen beschikbaar bedrag per school (op leerlingenaantal) per kalenderjaar</w:t>
      </w:r>
    </w:p>
    <w:p w14:paraId="32A7DA01"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 xml:space="preserve">10 – 900 </w:t>
      </w:r>
      <w:r w:rsidRPr="009D212F">
        <w:rPr>
          <w:rFonts w:ascii="Trebuchet MS" w:hAnsi="Trebuchet MS"/>
          <w:sz w:val="20"/>
          <w:szCs w:val="20"/>
        </w:rPr>
        <w:tab/>
        <w:t>€ 9.000</w:t>
      </w:r>
    </w:p>
    <w:p w14:paraId="6C631A99"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 xml:space="preserve">901 – 1400 </w:t>
      </w:r>
      <w:r w:rsidRPr="009D212F">
        <w:rPr>
          <w:rFonts w:ascii="Trebuchet MS" w:hAnsi="Trebuchet MS"/>
          <w:sz w:val="20"/>
          <w:szCs w:val="20"/>
        </w:rPr>
        <w:tab/>
        <w:t>€ 12.000</w:t>
      </w:r>
    </w:p>
    <w:p w14:paraId="31004F4D"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1401 – 1900</w:t>
      </w:r>
      <w:r w:rsidRPr="009D212F">
        <w:rPr>
          <w:rFonts w:ascii="Trebuchet MS" w:hAnsi="Trebuchet MS"/>
          <w:sz w:val="20"/>
          <w:szCs w:val="20"/>
        </w:rPr>
        <w:tab/>
        <w:t>€ 16.000</w:t>
      </w:r>
    </w:p>
    <w:p w14:paraId="73EF1037"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1901 – 2500</w:t>
      </w:r>
      <w:r w:rsidRPr="009D212F">
        <w:rPr>
          <w:rFonts w:ascii="Trebuchet MS" w:hAnsi="Trebuchet MS"/>
          <w:sz w:val="20"/>
          <w:szCs w:val="20"/>
        </w:rPr>
        <w:tab/>
        <w:t>€ 17.500</w:t>
      </w:r>
    </w:p>
    <w:p w14:paraId="354E069E"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2501 – 4000</w:t>
      </w:r>
      <w:r w:rsidRPr="009D212F">
        <w:rPr>
          <w:rFonts w:ascii="Trebuchet MS" w:hAnsi="Trebuchet MS"/>
          <w:sz w:val="20"/>
          <w:szCs w:val="20"/>
        </w:rPr>
        <w:tab/>
        <w:t>€ 22.500</w:t>
      </w:r>
    </w:p>
    <w:p w14:paraId="0D609FF6"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meer dan 4000</w:t>
      </w:r>
      <w:r w:rsidRPr="009D212F">
        <w:rPr>
          <w:rFonts w:ascii="Trebuchet MS" w:hAnsi="Trebuchet MS"/>
          <w:sz w:val="20"/>
          <w:szCs w:val="20"/>
        </w:rPr>
        <w:tab/>
        <w:t>€ 40.000</w:t>
      </w:r>
    </w:p>
    <w:p w14:paraId="4EE55B8F" w14:textId="77777777" w:rsidR="00F763EC" w:rsidRPr="009D212F" w:rsidRDefault="00F763EC" w:rsidP="00F763EC">
      <w:pPr>
        <w:spacing w:after="0" w:line="240" w:lineRule="auto"/>
        <w:rPr>
          <w:rFonts w:ascii="Trebuchet MS" w:hAnsi="Trebuchet MS"/>
          <w:sz w:val="20"/>
          <w:szCs w:val="20"/>
        </w:rPr>
      </w:pPr>
    </w:p>
    <w:p w14:paraId="4FF669D2" w14:textId="77777777" w:rsidR="00F763EC" w:rsidRPr="009D212F" w:rsidRDefault="00F763EC" w:rsidP="00F763EC">
      <w:pPr>
        <w:spacing w:after="0" w:line="240" w:lineRule="auto"/>
        <w:rPr>
          <w:rFonts w:ascii="Trebuchet MS" w:hAnsi="Trebuchet MS"/>
          <w:b/>
          <w:sz w:val="20"/>
          <w:szCs w:val="20"/>
          <w:u w:val="single"/>
        </w:rPr>
      </w:pPr>
      <w:r w:rsidRPr="009D212F">
        <w:rPr>
          <w:rFonts w:ascii="Trebuchet MS" w:hAnsi="Trebuchet MS"/>
          <w:b/>
          <w:sz w:val="20"/>
          <w:szCs w:val="20"/>
          <w:u w:val="single"/>
        </w:rPr>
        <w:t>Variabele bedragen</w:t>
      </w:r>
    </w:p>
    <w:p w14:paraId="3B467435" w14:textId="77777777" w:rsidR="00F763EC" w:rsidRPr="009D212F" w:rsidRDefault="00F763EC" w:rsidP="00F763EC">
      <w:pPr>
        <w:spacing w:after="0" w:line="240" w:lineRule="auto"/>
        <w:rPr>
          <w:rFonts w:ascii="Trebuchet MS" w:hAnsi="Trebuchet MS"/>
          <w:b/>
          <w:sz w:val="20"/>
          <w:szCs w:val="20"/>
        </w:rPr>
      </w:pPr>
      <w:r w:rsidRPr="009D212F">
        <w:rPr>
          <w:rFonts w:ascii="Trebuchet MS" w:hAnsi="Trebuchet MS"/>
          <w:b/>
          <w:sz w:val="20"/>
          <w:szCs w:val="20"/>
        </w:rPr>
        <w:t>Prestatienormen</w:t>
      </w:r>
    </w:p>
    <w:p w14:paraId="18E4E3B5"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2016–2017</w:t>
      </w:r>
      <w:r w:rsidRPr="009D212F">
        <w:rPr>
          <w:rFonts w:ascii="Trebuchet MS" w:hAnsi="Trebuchet MS"/>
          <w:sz w:val="20"/>
          <w:szCs w:val="20"/>
        </w:rPr>
        <w:tab/>
        <w:t>Onderbouw</w:t>
      </w:r>
      <w:r w:rsidRPr="009D212F">
        <w:rPr>
          <w:rFonts w:ascii="Trebuchet MS" w:hAnsi="Trebuchet MS"/>
          <w:sz w:val="20"/>
          <w:szCs w:val="20"/>
        </w:rPr>
        <w:tab/>
      </w:r>
      <w:r w:rsidRPr="009D212F">
        <w:rPr>
          <w:rFonts w:ascii="Trebuchet MS" w:hAnsi="Trebuchet MS"/>
          <w:sz w:val="20"/>
          <w:szCs w:val="20"/>
        </w:rPr>
        <w:tab/>
        <w:t>bovenbouw vmbo</w:t>
      </w:r>
      <w:r w:rsidRPr="009D212F">
        <w:rPr>
          <w:rFonts w:ascii="Trebuchet MS" w:hAnsi="Trebuchet MS"/>
          <w:sz w:val="20"/>
          <w:szCs w:val="20"/>
        </w:rPr>
        <w:tab/>
        <w:t>bovenbouw havo/vwo</w:t>
      </w:r>
    </w:p>
    <w:p w14:paraId="2000510D"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ab/>
      </w:r>
      <w:r w:rsidRPr="009D212F">
        <w:rPr>
          <w:rFonts w:ascii="Trebuchet MS" w:hAnsi="Trebuchet MS"/>
          <w:sz w:val="20"/>
          <w:szCs w:val="20"/>
        </w:rPr>
        <w:tab/>
        <w:t>0,75%</w:t>
      </w:r>
      <w:r w:rsidRPr="009D212F">
        <w:rPr>
          <w:rFonts w:ascii="Trebuchet MS" w:hAnsi="Trebuchet MS"/>
          <w:sz w:val="20"/>
          <w:szCs w:val="20"/>
        </w:rPr>
        <w:tab/>
      </w:r>
      <w:r w:rsidRPr="009D212F">
        <w:rPr>
          <w:rFonts w:ascii="Trebuchet MS" w:hAnsi="Trebuchet MS"/>
          <w:sz w:val="20"/>
          <w:szCs w:val="20"/>
        </w:rPr>
        <w:tab/>
      </w:r>
      <w:r w:rsidRPr="009D212F">
        <w:rPr>
          <w:rFonts w:ascii="Trebuchet MS" w:hAnsi="Trebuchet MS"/>
          <w:sz w:val="20"/>
          <w:szCs w:val="20"/>
        </w:rPr>
        <w:tab/>
      </w:r>
      <w:r w:rsidRPr="009D212F">
        <w:rPr>
          <w:rFonts w:ascii="Trebuchet MS" w:hAnsi="Trebuchet MS"/>
          <w:sz w:val="20"/>
          <w:szCs w:val="20"/>
        </w:rPr>
        <w:tab/>
        <w:t>3,0%</w:t>
      </w:r>
      <w:r w:rsidRPr="009D212F">
        <w:rPr>
          <w:rFonts w:ascii="Trebuchet MS" w:hAnsi="Trebuchet MS"/>
          <w:sz w:val="20"/>
          <w:szCs w:val="20"/>
        </w:rPr>
        <w:tab/>
      </w:r>
      <w:r w:rsidRPr="009D212F">
        <w:rPr>
          <w:rFonts w:ascii="Trebuchet MS" w:hAnsi="Trebuchet MS"/>
          <w:sz w:val="20"/>
          <w:szCs w:val="20"/>
        </w:rPr>
        <w:tab/>
      </w:r>
      <w:r w:rsidRPr="009D212F">
        <w:rPr>
          <w:rFonts w:ascii="Trebuchet MS" w:hAnsi="Trebuchet MS"/>
          <w:sz w:val="20"/>
          <w:szCs w:val="20"/>
        </w:rPr>
        <w:tab/>
        <w:t>0,5%</w:t>
      </w:r>
    </w:p>
    <w:p w14:paraId="47321F56"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2017–2018</w:t>
      </w:r>
      <w:r w:rsidRPr="009D212F">
        <w:rPr>
          <w:rFonts w:ascii="Trebuchet MS" w:hAnsi="Trebuchet MS"/>
          <w:sz w:val="20"/>
          <w:szCs w:val="20"/>
        </w:rPr>
        <w:tab/>
        <w:t>0,5%</w:t>
      </w:r>
      <w:r w:rsidRPr="009D212F">
        <w:rPr>
          <w:rFonts w:ascii="Trebuchet MS" w:hAnsi="Trebuchet MS"/>
          <w:sz w:val="20"/>
          <w:szCs w:val="20"/>
        </w:rPr>
        <w:tab/>
      </w:r>
      <w:r w:rsidRPr="009D212F">
        <w:rPr>
          <w:rFonts w:ascii="Trebuchet MS" w:hAnsi="Trebuchet MS"/>
          <w:sz w:val="20"/>
          <w:szCs w:val="20"/>
        </w:rPr>
        <w:tab/>
      </w:r>
      <w:r w:rsidRPr="009D212F">
        <w:rPr>
          <w:rFonts w:ascii="Trebuchet MS" w:hAnsi="Trebuchet MS"/>
          <w:sz w:val="20"/>
          <w:szCs w:val="20"/>
        </w:rPr>
        <w:tab/>
      </w:r>
      <w:r w:rsidRPr="009D212F">
        <w:rPr>
          <w:rFonts w:ascii="Trebuchet MS" w:hAnsi="Trebuchet MS"/>
          <w:sz w:val="20"/>
          <w:szCs w:val="20"/>
        </w:rPr>
        <w:tab/>
        <w:t>2,0%</w:t>
      </w:r>
      <w:r w:rsidRPr="009D212F">
        <w:rPr>
          <w:rFonts w:ascii="Trebuchet MS" w:hAnsi="Trebuchet MS"/>
          <w:sz w:val="20"/>
          <w:szCs w:val="20"/>
        </w:rPr>
        <w:tab/>
      </w:r>
      <w:r w:rsidRPr="009D212F">
        <w:rPr>
          <w:rFonts w:ascii="Trebuchet MS" w:hAnsi="Trebuchet MS"/>
          <w:sz w:val="20"/>
          <w:szCs w:val="20"/>
        </w:rPr>
        <w:tab/>
      </w:r>
      <w:r w:rsidRPr="009D212F">
        <w:rPr>
          <w:rFonts w:ascii="Trebuchet MS" w:hAnsi="Trebuchet MS"/>
          <w:sz w:val="20"/>
          <w:szCs w:val="20"/>
        </w:rPr>
        <w:tab/>
        <w:t>0,5%</w:t>
      </w:r>
    </w:p>
    <w:p w14:paraId="68E9083F" w14:textId="77777777" w:rsidR="00F763EC" w:rsidRPr="009D212F" w:rsidRDefault="00F763EC" w:rsidP="00F763EC">
      <w:pPr>
        <w:spacing w:after="0" w:line="240" w:lineRule="auto"/>
        <w:rPr>
          <w:rFonts w:ascii="Trebuchet MS" w:hAnsi="Trebuchet MS"/>
          <w:sz w:val="20"/>
          <w:szCs w:val="20"/>
        </w:rPr>
      </w:pPr>
    </w:p>
    <w:p w14:paraId="4EEE4934" w14:textId="77777777" w:rsidR="00F763EC" w:rsidRPr="009D212F" w:rsidRDefault="00F763EC" w:rsidP="00F763EC">
      <w:pPr>
        <w:spacing w:after="0" w:line="240" w:lineRule="auto"/>
        <w:rPr>
          <w:rFonts w:ascii="Trebuchet MS" w:hAnsi="Trebuchet MS"/>
          <w:b/>
          <w:sz w:val="20"/>
          <w:szCs w:val="20"/>
        </w:rPr>
      </w:pPr>
      <w:r w:rsidRPr="009D212F">
        <w:rPr>
          <w:rFonts w:ascii="Trebuchet MS" w:hAnsi="Trebuchet MS"/>
          <w:b/>
          <w:sz w:val="20"/>
          <w:szCs w:val="20"/>
        </w:rPr>
        <w:t xml:space="preserve">Prestatienormbedrag per school (verdeeld naar schoolsoort en leerjaren) </w:t>
      </w:r>
    </w:p>
    <w:p w14:paraId="267B3472" w14:textId="77777777" w:rsidR="00F763EC" w:rsidRPr="009D212F" w:rsidRDefault="00F763EC" w:rsidP="00F763EC">
      <w:pPr>
        <w:pStyle w:val="Lijstalinea"/>
        <w:numPr>
          <w:ilvl w:val="0"/>
          <w:numId w:val="6"/>
        </w:numPr>
        <w:spacing w:after="0" w:line="240" w:lineRule="auto"/>
        <w:rPr>
          <w:rFonts w:ascii="Trebuchet MS" w:hAnsi="Trebuchet MS"/>
          <w:sz w:val="20"/>
          <w:szCs w:val="20"/>
        </w:rPr>
      </w:pPr>
      <w:r w:rsidRPr="009D212F">
        <w:rPr>
          <w:rFonts w:ascii="Trebuchet MS" w:hAnsi="Trebuchet MS"/>
          <w:sz w:val="20"/>
          <w:szCs w:val="20"/>
        </w:rPr>
        <w:t>onderbouw</w:t>
      </w:r>
    </w:p>
    <w:p w14:paraId="5F97CA1C"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10 – 900</w:t>
      </w:r>
      <w:r w:rsidRPr="009D212F">
        <w:rPr>
          <w:rFonts w:ascii="Trebuchet MS" w:hAnsi="Trebuchet MS"/>
          <w:sz w:val="20"/>
          <w:szCs w:val="20"/>
        </w:rPr>
        <w:tab/>
        <w:t>€ 1.750</w:t>
      </w:r>
    </w:p>
    <w:p w14:paraId="5D318610"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901 – 1400</w:t>
      </w:r>
      <w:r w:rsidRPr="009D212F">
        <w:rPr>
          <w:rFonts w:ascii="Trebuchet MS" w:hAnsi="Trebuchet MS"/>
          <w:sz w:val="20"/>
          <w:szCs w:val="20"/>
        </w:rPr>
        <w:tab/>
        <w:t>€ 3.750</w:t>
      </w:r>
    </w:p>
    <w:p w14:paraId="4FF0F13F"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meer dan 1400</w:t>
      </w:r>
      <w:r w:rsidRPr="009D212F">
        <w:rPr>
          <w:rFonts w:ascii="Trebuchet MS" w:hAnsi="Trebuchet MS"/>
          <w:sz w:val="20"/>
          <w:szCs w:val="20"/>
        </w:rPr>
        <w:tab/>
        <w:t>€ 5.750</w:t>
      </w:r>
    </w:p>
    <w:p w14:paraId="6963EB21" w14:textId="77777777" w:rsidR="00F763EC" w:rsidRPr="009D212F" w:rsidRDefault="00F763EC" w:rsidP="00F763EC">
      <w:pPr>
        <w:pStyle w:val="Lijstalinea"/>
        <w:numPr>
          <w:ilvl w:val="0"/>
          <w:numId w:val="6"/>
        </w:numPr>
        <w:spacing w:after="0" w:line="240" w:lineRule="auto"/>
        <w:rPr>
          <w:rFonts w:ascii="Trebuchet MS" w:hAnsi="Trebuchet MS"/>
          <w:sz w:val="20"/>
          <w:szCs w:val="20"/>
        </w:rPr>
      </w:pPr>
      <w:r w:rsidRPr="009D212F">
        <w:rPr>
          <w:rFonts w:ascii="Trebuchet MS" w:hAnsi="Trebuchet MS"/>
          <w:sz w:val="20"/>
          <w:szCs w:val="20"/>
        </w:rPr>
        <w:t>bovenbouw van het vmbo</w:t>
      </w:r>
    </w:p>
    <w:p w14:paraId="39404ABF"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10 – 450</w:t>
      </w:r>
      <w:r w:rsidRPr="009D212F">
        <w:rPr>
          <w:rFonts w:ascii="Trebuchet MS" w:hAnsi="Trebuchet MS"/>
          <w:sz w:val="20"/>
          <w:szCs w:val="20"/>
        </w:rPr>
        <w:tab/>
        <w:t>€ 1.750</w:t>
      </w:r>
    </w:p>
    <w:p w14:paraId="72806198"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451 – 750</w:t>
      </w:r>
      <w:r w:rsidRPr="009D212F">
        <w:rPr>
          <w:rFonts w:ascii="Trebuchet MS" w:hAnsi="Trebuchet MS"/>
          <w:sz w:val="20"/>
          <w:szCs w:val="20"/>
        </w:rPr>
        <w:tab/>
        <w:t>€ 3.750</w:t>
      </w:r>
    </w:p>
    <w:p w14:paraId="422CE6C0" w14:textId="77777777" w:rsidR="00F763EC" w:rsidRPr="009D212F" w:rsidRDefault="00F763EC" w:rsidP="00F763EC">
      <w:pPr>
        <w:spacing w:after="0" w:line="240" w:lineRule="auto"/>
        <w:jc w:val="both"/>
        <w:rPr>
          <w:rFonts w:ascii="Trebuchet MS" w:hAnsi="Trebuchet MS"/>
          <w:sz w:val="20"/>
          <w:szCs w:val="20"/>
        </w:rPr>
      </w:pPr>
      <w:r w:rsidRPr="009D212F">
        <w:rPr>
          <w:rFonts w:ascii="Trebuchet MS" w:hAnsi="Trebuchet MS"/>
          <w:sz w:val="20"/>
          <w:szCs w:val="20"/>
        </w:rPr>
        <w:t>meer dan 750</w:t>
      </w:r>
      <w:r w:rsidRPr="009D212F">
        <w:rPr>
          <w:rFonts w:ascii="Trebuchet MS" w:hAnsi="Trebuchet MS"/>
          <w:sz w:val="20"/>
          <w:szCs w:val="20"/>
        </w:rPr>
        <w:tab/>
        <w:t>€ 5.750</w:t>
      </w:r>
    </w:p>
    <w:p w14:paraId="4F9D2832" w14:textId="77777777" w:rsidR="00F763EC" w:rsidRPr="009D212F" w:rsidRDefault="00F763EC" w:rsidP="00F763EC">
      <w:pPr>
        <w:pStyle w:val="Lijstalinea"/>
        <w:numPr>
          <w:ilvl w:val="0"/>
          <w:numId w:val="6"/>
        </w:numPr>
        <w:spacing w:after="0" w:line="240" w:lineRule="auto"/>
        <w:rPr>
          <w:rFonts w:ascii="Trebuchet MS" w:hAnsi="Trebuchet MS"/>
          <w:sz w:val="20"/>
          <w:szCs w:val="20"/>
        </w:rPr>
      </w:pPr>
      <w:r w:rsidRPr="009D212F">
        <w:rPr>
          <w:rFonts w:ascii="Trebuchet MS" w:hAnsi="Trebuchet MS"/>
          <w:sz w:val="20"/>
          <w:szCs w:val="20"/>
        </w:rPr>
        <w:t>bovenbouw van het havo en vwo</w:t>
      </w:r>
    </w:p>
    <w:p w14:paraId="5B1BD4D6"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10 – 475</w:t>
      </w:r>
      <w:r w:rsidRPr="009D212F">
        <w:rPr>
          <w:rFonts w:ascii="Trebuchet MS" w:hAnsi="Trebuchet MS"/>
          <w:sz w:val="20"/>
          <w:szCs w:val="20"/>
        </w:rPr>
        <w:tab/>
        <w:t>€ 1.750</w:t>
      </w:r>
    </w:p>
    <w:p w14:paraId="55C10B4E"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476 – 675</w:t>
      </w:r>
      <w:r w:rsidRPr="009D212F">
        <w:rPr>
          <w:rFonts w:ascii="Trebuchet MS" w:hAnsi="Trebuchet MS"/>
          <w:sz w:val="20"/>
          <w:szCs w:val="20"/>
        </w:rPr>
        <w:tab/>
        <w:t>€ 3.750</w:t>
      </w:r>
    </w:p>
    <w:p w14:paraId="69DB88F3"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meer dan 675</w:t>
      </w:r>
      <w:r w:rsidRPr="009D212F">
        <w:rPr>
          <w:rFonts w:ascii="Trebuchet MS" w:hAnsi="Trebuchet MS"/>
          <w:sz w:val="20"/>
          <w:szCs w:val="20"/>
        </w:rPr>
        <w:tab/>
        <w:t>€ 5.750</w:t>
      </w:r>
    </w:p>
    <w:p w14:paraId="2621B569" w14:textId="77777777" w:rsidR="00F763EC" w:rsidRPr="009D212F" w:rsidRDefault="00F763EC" w:rsidP="00F763EC">
      <w:pPr>
        <w:spacing w:after="0" w:line="240" w:lineRule="auto"/>
        <w:rPr>
          <w:rFonts w:ascii="Trebuchet MS" w:hAnsi="Trebuchet MS"/>
          <w:sz w:val="20"/>
          <w:szCs w:val="20"/>
        </w:rPr>
      </w:pPr>
    </w:p>
    <w:p w14:paraId="76393C88" w14:textId="77777777" w:rsidR="00F763EC" w:rsidRPr="009D212F" w:rsidRDefault="00F763EC" w:rsidP="00F763EC">
      <w:pPr>
        <w:spacing w:after="0" w:line="240" w:lineRule="auto"/>
        <w:rPr>
          <w:rFonts w:ascii="Trebuchet MS" w:hAnsi="Trebuchet MS"/>
          <w:b/>
          <w:sz w:val="20"/>
          <w:szCs w:val="20"/>
        </w:rPr>
      </w:pPr>
      <w:r w:rsidRPr="009D212F">
        <w:rPr>
          <w:rFonts w:ascii="Trebuchet MS" w:hAnsi="Trebuchet MS"/>
          <w:b/>
          <w:sz w:val="20"/>
          <w:szCs w:val="20"/>
        </w:rPr>
        <w:t>Bedrag voor behoud of verbetering per school (verdeeld naar schoolsoort en leerjaren)</w:t>
      </w:r>
    </w:p>
    <w:p w14:paraId="0CD420E0" w14:textId="77777777" w:rsidR="00F763EC" w:rsidRPr="009D212F" w:rsidRDefault="00F763EC" w:rsidP="00F763EC">
      <w:pPr>
        <w:pStyle w:val="Lijstalinea"/>
        <w:numPr>
          <w:ilvl w:val="0"/>
          <w:numId w:val="6"/>
        </w:numPr>
        <w:spacing w:after="0" w:line="240" w:lineRule="auto"/>
        <w:rPr>
          <w:rFonts w:ascii="Trebuchet MS" w:hAnsi="Trebuchet MS"/>
          <w:sz w:val="20"/>
          <w:szCs w:val="20"/>
        </w:rPr>
      </w:pPr>
      <w:r w:rsidRPr="009D212F">
        <w:rPr>
          <w:rFonts w:ascii="Trebuchet MS" w:hAnsi="Trebuchet MS"/>
          <w:sz w:val="20"/>
          <w:szCs w:val="20"/>
        </w:rPr>
        <w:t>onderbouw</w:t>
      </w:r>
    </w:p>
    <w:p w14:paraId="40FDE168"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10 – 900</w:t>
      </w:r>
      <w:r w:rsidRPr="009D212F">
        <w:rPr>
          <w:rFonts w:ascii="Trebuchet MS" w:hAnsi="Trebuchet MS"/>
          <w:sz w:val="20"/>
          <w:szCs w:val="20"/>
        </w:rPr>
        <w:tab/>
        <w:t>€ 3.000</w:t>
      </w:r>
    </w:p>
    <w:p w14:paraId="66BD16D0"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901 – 1400</w:t>
      </w:r>
      <w:r w:rsidRPr="009D212F">
        <w:rPr>
          <w:rFonts w:ascii="Trebuchet MS" w:hAnsi="Trebuchet MS"/>
          <w:sz w:val="20"/>
          <w:szCs w:val="20"/>
        </w:rPr>
        <w:tab/>
        <w:t>€ 6.000</w:t>
      </w:r>
    </w:p>
    <w:p w14:paraId="7F212710"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meer dan 1400</w:t>
      </w:r>
      <w:r w:rsidRPr="009D212F">
        <w:rPr>
          <w:rFonts w:ascii="Trebuchet MS" w:hAnsi="Trebuchet MS"/>
          <w:sz w:val="20"/>
          <w:szCs w:val="20"/>
        </w:rPr>
        <w:tab/>
        <w:t>€ 9.000</w:t>
      </w:r>
    </w:p>
    <w:p w14:paraId="35E49A88" w14:textId="77777777" w:rsidR="00F763EC" w:rsidRPr="009D212F" w:rsidRDefault="00F763EC" w:rsidP="00F763EC">
      <w:pPr>
        <w:pStyle w:val="Lijstalinea"/>
        <w:numPr>
          <w:ilvl w:val="0"/>
          <w:numId w:val="6"/>
        </w:numPr>
        <w:spacing w:after="0" w:line="240" w:lineRule="auto"/>
        <w:rPr>
          <w:rFonts w:ascii="Trebuchet MS" w:hAnsi="Trebuchet MS"/>
          <w:sz w:val="20"/>
          <w:szCs w:val="20"/>
        </w:rPr>
      </w:pPr>
      <w:r w:rsidRPr="009D212F">
        <w:rPr>
          <w:rFonts w:ascii="Trebuchet MS" w:hAnsi="Trebuchet MS"/>
          <w:sz w:val="20"/>
          <w:szCs w:val="20"/>
        </w:rPr>
        <w:t>bovenbouw van het vmbo</w:t>
      </w:r>
    </w:p>
    <w:p w14:paraId="1E0927DA"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10 – 450</w:t>
      </w:r>
      <w:r w:rsidRPr="009D212F">
        <w:rPr>
          <w:rFonts w:ascii="Trebuchet MS" w:hAnsi="Trebuchet MS"/>
          <w:sz w:val="20"/>
          <w:szCs w:val="20"/>
        </w:rPr>
        <w:tab/>
        <w:t>€ 3.000</w:t>
      </w:r>
    </w:p>
    <w:p w14:paraId="604AA4DE"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451 – 750</w:t>
      </w:r>
      <w:r w:rsidRPr="009D212F">
        <w:rPr>
          <w:rFonts w:ascii="Trebuchet MS" w:hAnsi="Trebuchet MS"/>
          <w:sz w:val="20"/>
          <w:szCs w:val="20"/>
        </w:rPr>
        <w:tab/>
        <w:t>€ 6.000</w:t>
      </w:r>
    </w:p>
    <w:p w14:paraId="2AA3CE36"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meer dan 750</w:t>
      </w:r>
      <w:r w:rsidRPr="009D212F">
        <w:rPr>
          <w:rFonts w:ascii="Trebuchet MS" w:hAnsi="Trebuchet MS"/>
          <w:sz w:val="20"/>
          <w:szCs w:val="20"/>
        </w:rPr>
        <w:tab/>
        <w:t>€ 9.000</w:t>
      </w:r>
    </w:p>
    <w:p w14:paraId="692AC73B" w14:textId="77777777" w:rsidR="00F763EC" w:rsidRPr="009D212F" w:rsidRDefault="00F763EC" w:rsidP="00F763EC">
      <w:pPr>
        <w:pStyle w:val="Lijstalinea"/>
        <w:numPr>
          <w:ilvl w:val="0"/>
          <w:numId w:val="6"/>
        </w:numPr>
        <w:spacing w:after="0" w:line="240" w:lineRule="auto"/>
        <w:rPr>
          <w:rFonts w:ascii="Trebuchet MS" w:hAnsi="Trebuchet MS"/>
          <w:sz w:val="20"/>
          <w:szCs w:val="20"/>
        </w:rPr>
      </w:pPr>
      <w:r w:rsidRPr="009D212F">
        <w:rPr>
          <w:rFonts w:ascii="Trebuchet MS" w:hAnsi="Trebuchet MS"/>
          <w:sz w:val="20"/>
          <w:szCs w:val="20"/>
        </w:rPr>
        <w:t>bovenbouw van het havo en vwo</w:t>
      </w:r>
    </w:p>
    <w:p w14:paraId="292A0591"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10 – 475</w:t>
      </w:r>
      <w:r w:rsidRPr="009D212F">
        <w:rPr>
          <w:rFonts w:ascii="Trebuchet MS" w:hAnsi="Trebuchet MS"/>
          <w:sz w:val="20"/>
          <w:szCs w:val="20"/>
        </w:rPr>
        <w:tab/>
        <w:t>€ 3.000</w:t>
      </w:r>
    </w:p>
    <w:p w14:paraId="4C244B11"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476 – 675</w:t>
      </w:r>
      <w:r w:rsidRPr="009D212F">
        <w:rPr>
          <w:rFonts w:ascii="Trebuchet MS" w:hAnsi="Trebuchet MS"/>
          <w:sz w:val="20"/>
          <w:szCs w:val="20"/>
        </w:rPr>
        <w:tab/>
        <w:t>€ 6.000</w:t>
      </w:r>
    </w:p>
    <w:p w14:paraId="27609847" w14:textId="77777777" w:rsidR="00F763EC" w:rsidRPr="009D212F" w:rsidRDefault="00F763EC" w:rsidP="00F763EC">
      <w:pPr>
        <w:spacing w:after="0" w:line="240" w:lineRule="auto"/>
        <w:rPr>
          <w:rFonts w:ascii="Trebuchet MS" w:hAnsi="Trebuchet MS"/>
          <w:sz w:val="20"/>
          <w:szCs w:val="20"/>
        </w:rPr>
      </w:pPr>
      <w:r w:rsidRPr="009D212F">
        <w:rPr>
          <w:rFonts w:ascii="Trebuchet MS" w:hAnsi="Trebuchet MS"/>
          <w:sz w:val="20"/>
          <w:szCs w:val="20"/>
        </w:rPr>
        <w:t>meer dan 675</w:t>
      </w:r>
      <w:r w:rsidRPr="009D212F">
        <w:rPr>
          <w:rFonts w:ascii="Trebuchet MS" w:hAnsi="Trebuchet MS"/>
          <w:sz w:val="20"/>
          <w:szCs w:val="20"/>
        </w:rPr>
        <w:tab/>
        <w:t>€ 9.000</w:t>
      </w:r>
    </w:p>
    <w:sectPr w:rsidR="00F763EC" w:rsidRPr="009D212F" w:rsidSect="00492D81">
      <w:footerReference w:type="even" r:id="rId10"/>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4480B" w14:textId="77777777" w:rsidR="00F22F17" w:rsidRDefault="00F22F17" w:rsidP="00546290">
      <w:pPr>
        <w:spacing w:after="0" w:line="240" w:lineRule="auto"/>
      </w:pPr>
      <w:r>
        <w:separator/>
      </w:r>
    </w:p>
  </w:endnote>
  <w:endnote w:type="continuationSeparator" w:id="0">
    <w:p w14:paraId="13252D0D" w14:textId="77777777" w:rsidR="00F22F17" w:rsidRDefault="00F22F17" w:rsidP="0054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D149" w14:textId="77777777" w:rsidR="00546290" w:rsidRDefault="00546290" w:rsidP="001A74DB">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B3D3FA" w14:textId="77777777" w:rsidR="00546290" w:rsidRDefault="00546290" w:rsidP="0054629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7257" w14:textId="72E84B4B" w:rsidR="00546290" w:rsidRDefault="00546290" w:rsidP="001A74DB">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2771C">
      <w:rPr>
        <w:rStyle w:val="Paginanummer"/>
        <w:noProof/>
      </w:rPr>
      <w:t>1</w:t>
    </w:r>
    <w:r>
      <w:rPr>
        <w:rStyle w:val="Paginanummer"/>
      </w:rPr>
      <w:fldChar w:fldCharType="end"/>
    </w:r>
  </w:p>
  <w:p w14:paraId="04A35DDC" w14:textId="77777777" w:rsidR="00546290" w:rsidRDefault="00546290" w:rsidP="0054629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BF098" w14:textId="77777777" w:rsidR="00F22F17" w:rsidRDefault="00F22F17" w:rsidP="00546290">
      <w:pPr>
        <w:spacing w:after="0" w:line="240" w:lineRule="auto"/>
      </w:pPr>
      <w:r>
        <w:separator/>
      </w:r>
    </w:p>
  </w:footnote>
  <w:footnote w:type="continuationSeparator" w:id="0">
    <w:p w14:paraId="43845312" w14:textId="77777777" w:rsidR="00F22F17" w:rsidRDefault="00F22F17" w:rsidP="00546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037"/>
    <w:multiLevelType w:val="hybridMultilevel"/>
    <w:tmpl w:val="DB62D0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985F0D"/>
    <w:multiLevelType w:val="hybridMultilevel"/>
    <w:tmpl w:val="8C921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EC7AC3"/>
    <w:multiLevelType w:val="hybridMultilevel"/>
    <w:tmpl w:val="E0244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234536"/>
    <w:multiLevelType w:val="hybridMultilevel"/>
    <w:tmpl w:val="A8A68456"/>
    <w:lvl w:ilvl="0" w:tplc="F6A24B72">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8B16AC"/>
    <w:multiLevelType w:val="hybridMultilevel"/>
    <w:tmpl w:val="0DD4D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A9378A"/>
    <w:multiLevelType w:val="hybridMultilevel"/>
    <w:tmpl w:val="D4AAF8A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4AD46365"/>
    <w:multiLevelType w:val="hybridMultilevel"/>
    <w:tmpl w:val="B9AEDD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D5F2362"/>
    <w:multiLevelType w:val="multilevel"/>
    <w:tmpl w:val="34D8A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74C0C"/>
    <w:multiLevelType w:val="hybridMultilevel"/>
    <w:tmpl w:val="4852E2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E4"/>
    <w:rsid w:val="00013484"/>
    <w:rsid w:val="00112E23"/>
    <w:rsid w:val="00156DC6"/>
    <w:rsid w:val="001B6DE4"/>
    <w:rsid w:val="001F39B1"/>
    <w:rsid w:val="00201792"/>
    <w:rsid w:val="00225140"/>
    <w:rsid w:val="0029105C"/>
    <w:rsid w:val="002C4922"/>
    <w:rsid w:val="00337163"/>
    <w:rsid w:val="0034617B"/>
    <w:rsid w:val="003A5686"/>
    <w:rsid w:val="00492D81"/>
    <w:rsid w:val="004A7978"/>
    <w:rsid w:val="004C5543"/>
    <w:rsid w:val="00546290"/>
    <w:rsid w:val="005D5A64"/>
    <w:rsid w:val="006733E3"/>
    <w:rsid w:val="0074030C"/>
    <w:rsid w:val="0075536D"/>
    <w:rsid w:val="00756DA0"/>
    <w:rsid w:val="007769F6"/>
    <w:rsid w:val="00837A31"/>
    <w:rsid w:val="00842DDE"/>
    <w:rsid w:val="008676C5"/>
    <w:rsid w:val="00873026"/>
    <w:rsid w:val="00997DD4"/>
    <w:rsid w:val="009D212F"/>
    <w:rsid w:val="00A05D55"/>
    <w:rsid w:val="00A656BE"/>
    <w:rsid w:val="00A82D92"/>
    <w:rsid w:val="00AC3AD3"/>
    <w:rsid w:val="00B357E6"/>
    <w:rsid w:val="00B4129A"/>
    <w:rsid w:val="00B542B1"/>
    <w:rsid w:val="00B95E77"/>
    <w:rsid w:val="00BC1FF6"/>
    <w:rsid w:val="00C26763"/>
    <w:rsid w:val="00C2771C"/>
    <w:rsid w:val="00C43B9F"/>
    <w:rsid w:val="00CA68FD"/>
    <w:rsid w:val="00CB6EDB"/>
    <w:rsid w:val="00D715AE"/>
    <w:rsid w:val="00DA112A"/>
    <w:rsid w:val="00DE10EA"/>
    <w:rsid w:val="00E1268B"/>
    <w:rsid w:val="00E275C8"/>
    <w:rsid w:val="00F22F17"/>
    <w:rsid w:val="00F52DC5"/>
    <w:rsid w:val="00F763EC"/>
    <w:rsid w:val="00F93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9C0F"/>
  <w15:chartTrackingRefBased/>
  <w15:docId w15:val="{91213899-4B67-4218-B6E8-489C8758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6DE4"/>
    <w:pPr>
      <w:ind w:left="720"/>
      <w:contextualSpacing/>
    </w:pPr>
  </w:style>
  <w:style w:type="table" w:styleId="Tabelraster">
    <w:name w:val="Table Grid"/>
    <w:basedOn w:val="Standaardtabel"/>
    <w:uiPriority w:val="59"/>
    <w:rsid w:val="00B4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05D55"/>
    <w:rPr>
      <w:sz w:val="16"/>
      <w:szCs w:val="16"/>
    </w:rPr>
  </w:style>
  <w:style w:type="paragraph" w:styleId="Tekstopmerking">
    <w:name w:val="annotation text"/>
    <w:basedOn w:val="Standaard"/>
    <w:link w:val="TekstopmerkingChar"/>
    <w:uiPriority w:val="99"/>
    <w:semiHidden/>
    <w:unhideWhenUsed/>
    <w:rsid w:val="00A05D5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05D55"/>
    <w:rPr>
      <w:sz w:val="20"/>
      <w:szCs w:val="20"/>
    </w:rPr>
  </w:style>
  <w:style w:type="paragraph" w:styleId="Onderwerpvanopmerking">
    <w:name w:val="annotation subject"/>
    <w:basedOn w:val="Tekstopmerking"/>
    <w:next w:val="Tekstopmerking"/>
    <w:link w:val="OnderwerpvanopmerkingChar"/>
    <w:uiPriority w:val="99"/>
    <w:semiHidden/>
    <w:unhideWhenUsed/>
    <w:rsid w:val="00A05D55"/>
    <w:rPr>
      <w:b/>
      <w:bCs/>
    </w:rPr>
  </w:style>
  <w:style w:type="character" w:customStyle="1" w:styleId="OnderwerpvanopmerkingChar">
    <w:name w:val="Onderwerp van opmerking Char"/>
    <w:basedOn w:val="TekstopmerkingChar"/>
    <w:link w:val="Onderwerpvanopmerking"/>
    <w:uiPriority w:val="99"/>
    <w:semiHidden/>
    <w:rsid w:val="00A05D55"/>
    <w:rPr>
      <w:b/>
      <w:bCs/>
      <w:sz w:val="20"/>
      <w:szCs w:val="20"/>
    </w:rPr>
  </w:style>
  <w:style w:type="paragraph" w:styleId="Ballontekst">
    <w:name w:val="Balloon Text"/>
    <w:basedOn w:val="Standaard"/>
    <w:link w:val="BallontekstChar"/>
    <w:uiPriority w:val="99"/>
    <w:semiHidden/>
    <w:unhideWhenUsed/>
    <w:rsid w:val="00A05D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5D55"/>
    <w:rPr>
      <w:rFonts w:ascii="Segoe UI" w:hAnsi="Segoe UI" w:cs="Segoe UI"/>
      <w:sz w:val="18"/>
      <w:szCs w:val="18"/>
    </w:rPr>
  </w:style>
  <w:style w:type="paragraph" w:styleId="Voettekst">
    <w:name w:val="footer"/>
    <w:basedOn w:val="Standaard"/>
    <w:link w:val="VoettekstChar"/>
    <w:uiPriority w:val="99"/>
    <w:unhideWhenUsed/>
    <w:rsid w:val="005462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6290"/>
  </w:style>
  <w:style w:type="character" w:styleId="Paginanummer">
    <w:name w:val="page number"/>
    <w:basedOn w:val="Standaardalinea-lettertype"/>
    <w:uiPriority w:val="99"/>
    <w:semiHidden/>
    <w:unhideWhenUsed/>
    <w:rsid w:val="0054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8" ma:contentTypeDescription="Een nieuw document maken." ma:contentTypeScope="" ma:versionID="527448ba1b2c914ac4ab273ea74f1e53">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bd0e9501804cf465b25777aad63baee3"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0BC95-0558-4FC3-8F24-C7D42C35F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C19F-787A-4217-8456-D452390E83E8}">
  <ds:schemaRefs>
    <ds:schemaRef ds:uri="http://schemas.microsoft.com/office/infopath/2007/PartnerControls"/>
    <ds:schemaRef ds:uri="49fac317-f441-4910-8e0b-ab191711c8a2"/>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 ds:uri="f1474087-4e67-4afa-8b67-260e774a898f"/>
  </ds:schemaRefs>
</ds:datastoreItem>
</file>

<file path=customXml/itemProps3.xml><?xml version="1.0" encoding="utf-8"?>
<ds:datastoreItem xmlns:ds="http://schemas.openxmlformats.org/officeDocument/2006/customXml" ds:itemID="{09D75CB3-B5B4-4157-96F4-EF7BD5BEE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6815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Jan Houwing</cp:lastModifiedBy>
  <cp:revision>2</cp:revision>
  <cp:lastPrinted>2016-10-27T12:12:00Z</cp:lastPrinted>
  <dcterms:created xsi:type="dcterms:W3CDTF">2019-09-05T06:22:00Z</dcterms:created>
  <dcterms:modified xsi:type="dcterms:W3CDTF">2019-09-05T06:22:00Z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