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20E5B" w14:textId="6EEB18C9" w:rsidR="00AC3559" w:rsidRPr="00BE3EAF" w:rsidRDefault="00AC3559" w:rsidP="00AC3559">
      <w:pPr>
        <w:pStyle w:val="Geenafstand"/>
        <w:rPr>
          <w:b/>
          <w:noProof/>
          <w:lang w:eastAsia="nl-NL"/>
        </w:rPr>
      </w:pPr>
      <w:bookmarkStart w:id="0" w:name="_Toc435466399"/>
      <w:bookmarkStart w:id="1" w:name="_Toc529527828"/>
      <w:r w:rsidRPr="00BE3EAF">
        <w:rPr>
          <w:b/>
          <w:noProof/>
          <w:lang w:eastAsia="nl-NL"/>
        </w:rPr>
        <w:t>Bijlage</w:t>
      </w:r>
      <w:r w:rsidR="0008586D">
        <w:rPr>
          <w:b/>
          <w:noProof/>
          <w:lang w:eastAsia="nl-NL"/>
        </w:rPr>
        <w:t xml:space="preserve"> 6.4</w:t>
      </w:r>
      <w:r>
        <w:rPr>
          <w:b/>
          <w:noProof/>
          <w:lang w:eastAsia="nl-NL"/>
        </w:rPr>
        <w:t xml:space="preserve"> - </w:t>
      </w:r>
      <w:r w:rsidRPr="00BE3EAF">
        <w:rPr>
          <w:b/>
          <w:noProof/>
          <w:lang w:eastAsia="nl-NL"/>
        </w:rPr>
        <w:t>Transitie po-vo</w:t>
      </w:r>
      <w:bookmarkEnd w:id="0"/>
      <w:bookmarkEnd w:id="1"/>
    </w:p>
    <w:p w14:paraId="401DA04F" w14:textId="77777777" w:rsidR="00AC3559" w:rsidRPr="000734CF" w:rsidRDefault="00AC3559" w:rsidP="00AC3559">
      <w:pPr>
        <w:spacing w:before="200" w:after="0" w:line="240" w:lineRule="auto"/>
        <w:contextualSpacing/>
        <w:outlineLvl w:val="3"/>
        <w:rPr>
          <w:rFonts w:ascii="Trebuchet MS" w:eastAsia="Arial" w:hAnsi="Trebuchet MS" w:cs="Tahoma"/>
          <w:bCs/>
          <w:i/>
          <w:iCs/>
          <w:sz w:val="20"/>
          <w:szCs w:val="20"/>
        </w:rPr>
      </w:pPr>
      <w:r w:rsidRPr="000734CF">
        <w:rPr>
          <w:rFonts w:ascii="Trebuchet MS" w:eastAsia="Arial" w:hAnsi="Trebuchet MS" w:cs="Tahoma"/>
          <w:bCs/>
          <w:i/>
          <w:iCs/>
          <w:sz w:val="20"/>
          <w:szCs w:val="20"/>
        </w:rPr>
        <w:t>Samenhang in afspraken - Toelatingsbeleid</w:t>
      </w:r>
    </w:p>
    <w:p w14:paraId="4B9BDC3A" w14:textId="77777777" w:rsidR="00AC3559" w:rsidRPr="000734CF" w:rsidRDefault="00AC3559" w:rsidP="00AC3559">
      <w:pPr>
        <w:spacing w:after="0" w:line="240" w:lineRule="auto"/>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Er is gezamenlijk toelatingsbeleid geformuleerd met een bijbehorende transitiekalender po-vo. Dit beleid is te vinden op de site van ons swv en wordt jaarlijks geactualiseerd op basis van verschillende evaluaties.</w:t>
      </w:r>
    </w:p>
    <w:p w14:paraId="355C7BA1" w14:textId="77777777" w:rsidR="00AC3559" w:rsidRPr="000734CF" w:rsidRDefault="00AC3559" w:rsidP="00AC3559">
      <w:pPr>
        <w:spacing w:after="0" w:line="240" w:lineRule="auto"/>
        <w:contextualSpacing/>
        <w:rPr>
          <w:rFonts w:ascii="Trebuchet MS" w:eastAsia="Arial" w:hAnsi="Trebuchet MS" w:cs="Arial"/>
          <w:sz w:val="20"/>
          <w:szCs w:val="20"/>
          <w:lang w:eastAsia="nl-NL"/>
        </w:rPr>
      </w:pPr>
    </w:p>
    <w:p w14:paraId="37FFB22B" w14:textId="77777777" w:rsidR="00AC3559" w:rsidRPr="000734CF" w:rsidRDefault="00AC3559" w:rsidP="00AC3559">
      <w:pPr>
        <w:spacing w:after="0" w:line="240" w:lineRule="auto"/>
        <w:contextualSpacing/>
        <w:rPr>
          <w:rFonts w:ascii="Trebuchet MS" w:eastAsia="Arial" w:hAnsi="Trebuchet MS" w:cs="Arial"/>
          <w:i/>
          <w:sz w:val="20"/>
          <w:szCs w:val="20"/>
          <w:lang w:eastAsia="nl-NL"/>
        </w:rPr>
      </w:pPr>
      <w:r w:rsidRPr="000734CF">
        <w:rPr>
          <w:rFonts w:ascii="Trebuchet MS" w:eastAsia="Arial" w:hAnsi="Trebuchet MS" w:cs="Arial"/>
          <w:i/>
          <w:sz w:val="20"/>
          <w:szCs w:val="20"/>
          <w:lang w:eastAsia="nl-NL"/>
        </w:rPr>
        <w:t>Zorgplicht</w:t>
      </w:r>
    </w:p>
    <w:p w14:paraId="6762FDED" w14:textId="77777777" w:rsidR="00AC3559" w:rsidRPr="000734CF" w:rsidRDefault="00AC3559" w:rsidP="00AC3559">
      <w:pPr>
        <w:spacing w:after="0" w:line="240" w:lineRule="auto"/>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 xml:space="preserve">Schoolbesturen hebben vanaf 1 augustus 2014 zorgplicht. Zorgplicht betekent dat scholen ervoor moeten zorgen dat iedere leerling die op hun school zit, of die zich bij hun school aanmeldt, een passende onderwijsplek krijgt. Bij uitvoering van de zorgplicht, moet het schoolbestuur eerst kijken wat de school zelf kan doen. Vindt de school dat een leerling het beste naar een andere school binnen het samenwerkingsverband kan gaan, dan moet deze zelf zorgen voor een goede plek voor die leerling. Belangrijk bij de uitvoering van de zorgplicht is overleg met de ouders over wat een goede passende school voor hun kind is. Ook moet de school goed kijken naar wat een leerling echt nodig heeft en eerst proberen dit zelf voor elkaar te krijgen. Wat de school te bieden heeft staat in het ondersteuningsprofiel van de school. Het ondersteuningsprofiel staat veelal op de site van de school. In ieder geval hebben alle scholen in het swv een ondersteuningsprofiel gemaakt. Op de volgende pagina is een schematisch overzicht gemaakt van de overstap po-vo in relatie tot zorgplicht. Een school heeft geen zorgplicht bij de volgende redenen: </w:t>
      </w:r>
    </w:p>
    <w:p w14:paraId="5BB452ED" w14:textId="77777777" w:rsidR="00AC3559" w:rsidRPr="000734CF" w:rsidRDefault="00AC3559" w:rsidP="00AC3559">
      <w:pPr>
        <w:spacing w:after="0" w:line="240" w:lineRule="auto"/>
        <w:ind w:left="708" w:hanging="282"/>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a.</w:t>
      </w:r>
      <w:r w:rsidRPr="000734CF">
        <w:rPr>
          <w:rFonts w:ascii="Trebuchet MS" w:eastAsia="Arial" w:hAnsi="Trebuchet MS" w:cs="Arial"/>
          <w:sz w:val="20"/>
          <w:szCs w:val="20"/>
          <w:lang w:eastAsia="nl-NL"/>
        </w:rPr>
        <w:tab/>
        <w:t xml:space="preserve">Denominatie. Als ouders weigeren te verklaren dat zij de grondslag van het onderwijs zullen respecteren /onderschrijven. </w:t>
      </w:r>
    </w:p>
    <w:p w14:paraId="2FDE222B" w14:textId="77777777" w:rsidR="00AC3559" w:rsidRPr="000734CF" w:rsidRDefault="00AC3559" w:rsidP="00AC3559">
      <w:pPr>
        <w:spacing w:after="0" w:line="240" w:lineRule="auto"/>
        <w:ind w:firstLine="426"/>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b.</w:t>
      </w:r>
      <w:r w:rsidRPr="000734CF">
        <w:rPr>
          <w:rFonts w:ascii="Trebuchet MS" w:eastAsia="Arial" w:hAnsi="Trebuchet MS" w:cs="Arial"/>
          <w:sz w:val="20"/>
          <w:szCs w:val="20"/>
          <w:lang w:eastAsia="nl-NL"/>
        </w:rPr>
        <w:tab/>
        <w:t>Plaatsruimte, de begrenzing van het maximaal aantal leerlingen op een vestiging.</w:t>
      </w:r>
    </w:p>
    <w:p w14:paraId="77D19DD0" w14:textId="77777777" w:rsidR="00AC3559" w:rsidRPr="000734CF" w:rsidRDefault="00AC3559" w:rsidP="00AC3559">
      <w:pPr>
        <w:spacing w:after="0" w:line="240" w:lineRule="auto"/>
        <w:ind w:left="708"/>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Indien er wordt geloot i.v.m. plaatsruimte dan is er geen sprake van zorgplicht voor de leerlingen die niet zijn ingeloot. Qua volgtijdelijkheid vindt eerst de loting plaats en geldt voor de leerlingen die zijn ingeloot dat die of geplaatst worden of dat het bevoegd gezag een andere school zoekt die wel een passend aanbod kan doen.</w:t>
      </w:r>
    </w:p>
    <w:p w14:paraId="3FA03EBB" w14:textId="77777777" w:rsidR="00AC3559" w:rsidRPr="000734CF" w:rsidRDefault="00AC3559" w:rsidP="00AC3559">
      <w:pPr>
        <w:spacing w:after="0" w:line="240" w:lineRule="auto"/>
        <w:ind w:left="708" w:hanging="282"/>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c.</w:t>
      </w:r>
      <w:r w:rsidRPr="000734CF">
        <w:rPr>
          <w:rFonts w:ascii="Trebuchet MS" w:eastAsia="Arial" w:hAnsi="Trebuchet MS" w:cs="Arial"/>
          <w:sz w:val="20"/>
          <w:szCs w:val="20"/>
          <w:lang w:eastAsia="nl-NL"/>
        </w:rPr>
        <w:tab/>
        <w:t>Het niveau van de leerling niet toereikend is voor dat wat het schoolbestuur te bieden heeft aan onderwijssoorten.</w:t>
      </w:r>
    </w:p>
    <w:p w14:paraId="019363AE" w14:textId="77777777" w:rsidR="00AC3559" w:rsidRPr="000734CF" w:rsidRDefault="00AC3559" w:rsidP="00AC3559">
      <w:pPr>
        <w:spacing w:after="0" w:line="240" w:lineRule="auto"/>
        <w:ind w:firstLine="426"/>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d.</w:t>
      </w:r>
      <w:r w:rsidRPr="000734CF">
        <w:rPr>
          <w:rFonts w:ascii="Trebuchet MS" w:eastAsia="Arial" w:hAnsi="Trebuchet MS" w:cs="Arial"/>
          <w:sz w:val="20"/>
          <w:szCs w:val="20"/>
          <w:lang w:eastAsia="nl-NL"/>
        </w:rPr>
        <w:tab/>
        <w:t>Informatiegebrek, als ouders de school relevante benodigde informatie onthouden.</w:t>
      </w:r>
    </w:p>
    <w:p w14:paraId="0E63B23A" w14:textId="77777777" w:rsidR="00AC3559" w:rsidRPr="000734CF" w:rsidRDefault="00AC3559" w:rsidP="00AC3559">
      <w:pPr>
        <w:spacing w:before="200" w:after="0" w:line="240" w:lineRule="auto"/>
        <w:contextualSpacing/>
        <w:outlineLvl w:val="3"/>
        <w:rPr>
          <w:rFonts w:ascii="Trebuchet MS" w:eastAsia="Arial" w:hAnsi="Trebuchet MS" w:cs="Tahoma"/>
          <w:bCs/>
          <w:iCs/>
          <w:sz w:val="20"/>
          <w:szCs w:val="20"/>
        </w:rPr>
      </w:pPr>
    </w:p>
    <w:p w14:paraId="21B90E66" w14:textId="77777777" w:rsidR="00AC3559" w:rsidRPr="000734CF" w:rsidRDefault="00AC3559" w:rsidP="00AC3559">
      <w:pPr>
        <w:spacing w:before="200" w:after="0" w:line="240" w:lineRule="auto"/>
        <w:contextualSpacing/>
        <w:outlineLvl w:val="3"/>
        <w:rPr>
          <w:rFonts w:ascii="Trebuchet MS" w:eastAsia="Arial" w:hAnsi="Trebuchet MS" w:cs="Tahoma"/>
          <w:bCs/>
          <w:i/>
          <w:iCs/>
          <w:sz w:val="20"/>
          <w:szCs w:val="20"/>
        </w:rPr>
      </w:pPr>
      <w:r w:rsidRPr="000734CF">
        <w:rPr>
          <w:rFonts w:ascii="Trebuchet MS" w:eastAsia="Arial" w:hAnsi="Trebuchet MS" w:cs="Tahoma"/>
          <w:bCs/>
          <w:i/>
          <w:iCs/>
          <w:sz w:val="20"/>
          <w:szCs w:val="20"/>
        </w:rPr>
        <w:t>Professionaliseren van het advies - De Plaatsingswijzer</w:t>
      </w:r>
    </w:p>
    <w:p w14:paraId="536A2E4A" w14:textId="77777777" w:rsidR="00AC3559" w:rsidRPr="000734CF" w:rsidRDefault="00AC3559" w:rsidP="00AC3559">
      <w:pPr>
        <w:spacing w:after="0" w:line="240" w:lineRule="auto"/>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De Plaatsingswijzer is een instrument dat het advies van het po voor een onderwijssoort in het vo ondersteunt door uit te gaan van het leerlingvolgsysteem vanaf groep 6. De Plaatsingswijzer biedt inhoudelijke aanknopingspunten voor een goed advies en daarmee een adequate plaatsing in het vo. Ervaring is dat de Plaatsingswijzer betere, meer eenduidige plaatsingen oplevert met minder discussie en uiteindelijk tot een beter rendement leidt in het vo. Met ingang van het schooljaar 2014-2015 is de Plaatsingswijzer breed ingevoerd in de gehele provincie Groningen, Friesland en delen van Drenthe.</w:t>
      </w:r>
    </w:p>
    <w:p w14:paraId="2B7EBD2A" w14:textId="77777777" w:rsidR="00AC3559" w:rsidRPr="000734CF" w:rsidRDefault="00AC3559" w:rsidP="00AC3559">
      <w:pPr>
        <w:spacing w:before="200" w:after="0" w:line="240" w:lineRule="auto"/>
        <w:contextualSpacing/>
        <w:outlineLvl w:val="3"/>
        <w:rPr>
          <w:rFonts w:ascii="Trebuchet MS" w:eastAsia="Arial" w:hAnsi="Trebuchet MS" w:cs="Tahoma"/>
          <w:bCs/>
          <w:iCs/>
          <w:sz w:val="20"/>
          <w:szCs w:val="20"/>
        </w:rPr>
      </w:pPr>
    </w:p>
    <w:p w14:paraId="382BC22F" w14:textId="77777777" w:rsidR="00AC3559" w:rsidRPr="000734CF" w:rsidRDefault="00AC3559" w:rsidP="00AC3559">
      <w:pPr>
        <w:spacing w:before="200" w:after="0" w:line="240" w:lineRule="auto"/>
        <w:contextualSpacing/>
        <w:outlineLvl w:val="3"/>
        <w:rPr>
          <w:rFonts w:ascii="Trebuchet MS" w:eastAsia="Arial" w:hAnsi="Trebuchet MS" w:cs="Tahoma"/>
          <w:bCs/>
          <w:i/>
          <w:iCs/>
          <w:sz w:val="20"/>
          <w:szCs w:val="20"/>
        </w:rPr>
      </w:pPr>
      <w:r w:rsidRPr="000734CF">
        <w:rPr>
          <w:rFonts w:ascii="Trebuchet MS" w:eastAsia="Arial" w:hAnsi="Trebuchet MS" w:cs="Tahoma"/>
          <w:bCs/>
          <w:i/>
          <w:iCs/>
          <w:sz w:val="20"/>
          <w:szCs w:val="20"/>
        </w:rPr>
        <w:t>Monitoren van de transitie - Intergrip</w:t>
      </w:r>
    </w:p>
    <w:p w14:paraId="01C55B52" w14:textId="77777777" w:rsidR="00AC3559" w:rsidRPr="000734CF" w:rsidRDefault="00AC3559" w:rsidP="00AC3559">
      <w:pPr>
        <w:spacing w:after="0" w:line="240" w:lineRule="auto"/>
        <w:contextualSpacing/>
        <w:rPr>
          <w:rFonts w:ascii="Trebuchet MS" w:eastAsia="Arial" w:hAnsi="Trebuchet MS" w:cs="Arial"/>
          <w:sz w:val="20"/>
          <w:szCs w:val="20"/>
          <w:lang w:eastAsia="nl-NL"/>
        </w:rPr>
      </w:pPr>
      <w:r w:rsidRPr="000734CF">
        <w:rPr>
          <w:rFonts w:ascii="Trebuchet MS" w:eastAsia="Arial" w:hAnsi="Trebuchet MS" w:cs="Arial"/>
          <w:sz w:val="20"/>
          <w:szCs w:val="20"/>
          <w:lang w:eastAsia="nl-NL"/>
        </w:rPr>
        <w:t xml:space="preserve">Intergrip is een digitaal systeem waarin verschillende gebruikers (swv’s, scholen, besturen en leerplicht) gedurende de aanmelding de voortgang van de overstap van leerlingen van het po naar het vo kunnen zien. Intergrip biedt tevens de mogelijkheid om de terugrapportage per individuele leerling van vo naar po meerdere jaren gestalte te geven. Naast een administratieve inspanning die aansluit op de administratiepakketten van de scholen, leidt het systeem tot daling van de administratieve last. Het systeem vervangt onder andere: </w:t>
      </w:r>
    </w:p>
    <w:p w14:paraId="0B4D0EE4" w14:textId="77777777" w:rsidR="00AC3559" w:rsidRPr="000734CF" w:rsidRDefault="00AC3559" w:rsidP="00AC3559">
      <w:pPr>
        <w:numPr>
          <w:ilvl w:val="0"/>
          <w:numId w:val="1"/>
        </w:numPr>
        <w:spacing w:after="0" w:line="240" w:lineRule="auto"/>
        <w:ind w:hanging="279"/>
        <w:contextualSpacing/>
        <w:rPr>
          <w:rFonts w:ascii="Trebuchet MS" w:eastAsia="Arial" w:hAnsi="Trebuchet MS" w:cs="Arial"/>
          <w:bCs/>
          <w:sz w:val="20"/>
          <w:szCs w:val="20"/>
          <w:lang w:eastAsia="nl-NL"/>
        </w:rPr>
      </w:pPr>
      <w:r w:rsidRPr="000734CF">
        <w:rPr>
          <w:rFonts w:ascii="Trebuchet MS" w:eastAsia="Arial" w:hAnsi="Trebuchet MS" w:cs="Arial"/>
          <w:sz w:val="20"/>
          <w:szCs w:val="20"/>
          <w:lang w:eastAsia="nl-NL"/>
        </w:rPr>
        <w:t xml:space="preserve">deels de uitwisseling van in- en uitschrijvingsbewijzen, de (papieren) informatie-uitwisseling over de plaatsing van de leerlingen; </w:t>
      </w:r>
    </w:p>
    <w:p w14:paraId="2640F9DA" w14:textId="77777777" w:rsidR="00AC3559" w:rsidRPr="000734CF" w:rsidRDefault="00AC3559" w:rsidP="00AC3559">
      <w:pPr>
        <w:numPr>
          <w:ilvl w:val="0"/>
          <w:numId w:val="1"/>
        </w:numPr>
        <w:spacing w:after="0" w:line="240" w:lineRule="auto"/>
        <w:ind w:hanging="279"/>
        <w:contextualSpacing/>
        <w:rPr>
          <w:rFonts w:ascii="Trebuchet MS" w:eastAsia="Arial" w:hAnsi="Trebuchet MS" w:cs="Arial"/>
          <w:bCs/>
          <w:sz w:val="20"/>
          <w:szCs w:val="20"/>
          <w:lang w:eastAsia="nl-NL"/>
        </w:rPr>
      </w:pPr>
      <w:r w:rsidRPr="000734CF">
        <w:rPr>
          <w:rFonts w:ascii="Trebuchet MS" w:eastAsia="Arial" w:hAnsi="Trebuchet MS" w:cs="Arial"/>
          <w:sz w:val="20"/>
          <w:szCs w:val="20"/>
          <w:lang w:eastAsia="nl-NL"/>
        </w:rPr>
        <w:t>de jaarlijkse (papieren) terugkoppeling over de resultaten van de leerlingen in het vo. Via Intergrip krijgt de basisschool de mogelijkheid tot en met het diploma in het vo mee te kijken naar de vorderingen van hun leerlingen.</w:t>
      </w:r>
    </w:p>
    <w:p w14:paraId="25BDF36F" w14:textId="77777777" w:rsidR="00AC3559" w:rsidRPr="000734CF" w:rsidRDefault="00AC3559" w:rsidP="00AC3559">
      <w:pPr>
        <w:spacing w:after="0" w:line="240" w:lineRule="auto"/>
        <w:contextualSpacing/>
        <w:rPr>
          <w:rFonts w:ascii="Trebuchet MS" w:eastAsia="Arial" w:hAnsi="Trebuchet MS" w:cs="Arial"/>
          <w:bCs/>
          <w:sz w:val="20"/>
          <w:szCs w:val="20"/>
          <w:lang w:eastAsia="nl-NL"/>
        </w:rPr>
      </w:pPr>
      <w:r w:rsidRPr="000734CF">
        <w:rPr>
          <w:rFonts w:ascii="Trebuchet MS" w:eastAsia="Arial" w:hAnsi="Trebuchet MS" w:cs="Arial"/>
          <w:bCs/>
          <w:sz w:val="20"/>
          <w:szCs w:val="20"/>
          <w:lang w:eastAsia="nl-NL"/>
        </w:rPr>
        <w:t xml:space="preserve">In 2012-2013 is het systeem geïmplementeerd in de reguliere po- en vo-scholen in de stad Groningen. In de komende jaren willen we zoveel mogelijk po-scholen laten aansluiten bij Intergrip, zodat ook de po-scholen in het overige deel van de provincie Groningen en in Noord- en Midden-Drenthe kunnen profiteren van bovenstaande voordelen. </w:t>
      </w:r>
    </w:p>
    <w:p w14:paraId="0330AC5A" w14:textId="77777777" w:rsidR="00AC3559" w:rsidRPr="000734CF" w:rsidRDefault="00AC3559" w:rsidP="00AC3559">
      <w:pPr>
        <w:spacing w:after="0" w:line="240" w:lineRule="auto"/>
        <w:contextualSpacing/>
        <w:rPr>
          <w:rFonts w:ascii="Trebuchet MS" w:eastAsia="Arial" w:hAnsi="Trebuchet MS" w:cs="Times New Roman"/>
          <w:bCs/>
          <w:sz w:val="20"/>
          <w:szCs w:val="20"/>
          <w:lang w:eastAsia="nl-NL"/>
        </w:rPr>
      </w:pPr>
    </w:p>
    <w:p w14:paraId="7D50AB4E" w14:textId="4C22C5FD" w:rsidR="00AC3559" w:rsidRDefault="00AC3559" w:rsidP="00AC3559">
      <w:pPr>
        <w:spacing w:after="0" w:line="240" w:lineRule="auto"/>
        <w:contextualSpacing/>
        <w:rPr>
          <w:rFonts w:ascii="Trebuchet MS" w:eastAsia="Arial" w:hAnsi="Trebuchet MS" w:cs="Times New Roman"/>
          <w:bCs/>
          <w:sz w:val="20"/>
          <w:szCs w:val="20"/>
          <w:lang w:eastAsia="nl-NL"/>
        </w:rPr>
      </w:pPr>
    </w:p>
    <w:p w14:paraId="6D125532" w14:textId="77777777" w:rsidR="0008586D" w:rsidRPr="000734CF" w:rsidRDefault="0008586D" w:rsidP="00AC3559">
      <w:pPr>
        <w:spacing w:after="0" w:line="240" w:lineRule="auto"/>
        <w:contextualSpacing/>
        <w:rPr>
          <w:rFonts w:ascii="Trebuchet MS" w:eastAsia="Arial" w:hAnsi="Trebuchet MS" w:cs="Times New Roman"/>
          <w:bCs/>
          <w:sz w:val="20"/>
          <w:szCs w:val="20"/>
          <w:lang w:eastAsia="nl-NL"/>
        </w:rPr>
      </w:pPr>
      <w:bookmarkStart w:id="2" w:name="_GoBack"/>
      <w:bookmarkEnd w:id="2"/>
    </w:p>
    <w:p w14:paraId="1AC8D726" w14:textId="77777777" w:rsidR="00AC3559" w:rsidRPr="000734CF" w:rsidRDefault="00AC3559" w:rsidP="00AC3559">
      <w:pPr>
        <w:spacing w:after="0" w:line="240" w:lineRule="auto"/>
        <w:contextualSpacing/>
        <w:rPr>
          <w:rFonts w:ascii="Trebuchet MS" w:eastAsia="Arial" w:hAnsi="Trebuchet MS" w:cs="Times New Roman"/>
          <w:bCs/>
          <w:sz w:val="20"/>
          <w:szCs w:val="20"/>
          <w:lang w:eastAsia="nl-NL"/>
        </w:rPr>
      </w:pPr>
    </w:p>
    <w:p w14:paraId="25F28CB8" w14:textId="77777777" w:rsidR="00AC3559" w:rsidRPr="000734CF" w:rsidRDefault="00AC3559" w:rsidP="00AC3559">
      <w:pPr>
        <w:spacing w:before="200" w:after="0" w:line="240" w:lineRule="auto"/>
        <w:contextualSpacing/>
        <w:outlineLvl w:val="3"/>
        <w:rPr>
          <w:rFonts w:ascii="Trebuchet MS" w:eastAsia="Arial" w:hAnsi="Trebuchet MS" w:cs="Tahoma"/>
          <w:bCs/>
          <w:i/>
          <w:iCs/>
          <w:sz w:val="20"/>
          <w:szCs w:val="20"/>
        </w:rPr>
      </w:pPr>
      <w:r w:rsidRPr="000734CF">
        <w:rPr>
          <w:rFonts w:ascii="Trebuchet MS" w:eastAsia="Arial" w:hAnsi="Trebuchet MS" w:cs="Tahoma"/>
          <w:bCs/>
          <w:i/>
          <w:iCs/>
          <w:sz w:val="20"/>
          <w:szCs w:val="20"/>
        </w:rPr>
        <w:lastRenderedPageBreak/>
        <w:t>Automatisering – OSO (Overstap Service Onderwijs)</w:t>
      </w:r>
    </w:p>
    <w:p w14:paraId="650D465C" w14:textId="77777777" w:rsidR="00AC3559" w:rsidRPr="000734CF" w:rsidRDefault="00AC3559" w:rsidP="00AC3559">
      <w:pPr>
        <w:spacing w:after="0" w:line="240" w:lineRule="auto"/>
        <w:contextualSpacing/>
        <w:rPr>
          <w:rFonts w:ascii="Trebuchet MS" w:eastAsia="HGMinchoB" w:hAnsi="Trebuchet MS" w:cs="Arial"/>
          <w:sz w:val="20"/>
          <w:szCs w:val="20"/>
        </w:rPr>
      </w:pPr>
      <w:r w:rsidRPr="000734CF">
        <w:rPr>
          <w:rFonts w:ascii="Trebuchet MS" w:eastAsia="Arial" w:hAnsi="Trebuchet MS" w:cs="Arial"/>
          <w:sz w:val="20"/>
          <w:szCs w:val="20"/>
          <w:lang w:eastAsia="nl-NL"/>
        </w:rPr>
        <w:t>Inmiddels zijn landelijk de meeste scholen aangesloten bij de Overstap Service Onderwijs. Vanuit het swv sturen we actief op de certificering van scholen voor po en vo. Voor ons is het van belang verbinding aan te brengen met de Plaatsingswijzer en Intergrip. OSO is de toekomst als het gaat om digitale overdracht tussen po en vo. In schooljaar 2016-2017 koersen we op volledige overdracht via OSO.</w:t>
      </w:r>
      <w:r w:rsidRPr="000734CF">
        <w:rPr>
          <w:rFonts w:ascii="Trebuchet MS" w:eastAsia="Arial" w:hAnsi="Trebuchet MS" w:cs="Arial"/>
          <w:sz w:val="20"/>
          <w:szCs w:val="20"/>
          <w:lang w:eastAsia="nl-NL"/>
        </w:rPr>
        <w:br/>
      </w:r>
    </w:p>
    <w:p w14:paraId="49511741" w14:textId="77777777" w:rsidR="00AC3559" w:rsidRPr="000734CF" w:rsidRDefault="00AC3559" w:rsidP="00AC3559">
      <w:pPr>
        <w:spacing w:after="0" w:line="240" w:lineRule="auto"/>
        <w:contextualSpacing/>
        <w:rPr>
          <w:rFonts w:ascii="Trebuchet MS" w:eastAsia="HGMinchoB" w:hAnsi="Trebuchet MS" w:cs="Arial"/>
          <w:sz w:val="20"/>
          <w:szCs w:val="20"/>
        </w:rPr>
      </w:pPr>
    </w:p>
    <w:p w14:paraId="46F5FEAA" w14:textId="77777777" w:rsidR="00AC3559" w:rsidRPr="000734CF" w:rsidRDefault="00AC3559" w:rsidP="00AC3559">
      <w:pPr>
        <w:spacing w:after="0" w:line="240" w:lineRule="auto"/>
        <w:contextualSpacing/>
        <w:rPr>
          <w:rFonts w:ascii="Trebuchet MS" w:eastAsia="HGMinchoB" w:hAnsi="Trebuchet MS" w:cs="Arial"/>
          <w:sz w:val="20"/>
          <w:szCs w:val="20"/>
        </w:rPr>
      </w:pPr>
    </w:p>
    <w:p w14:paraId="6637A8BB" w14:textId="77777777" w:rsidR="00B64882" w:rsidRDefault="00AC3559" w:rsidP="00AC3559">
      <w:r w:rsidRPr="000734CF">
        <w:rPr>
          <w:rFonts w:ascii="Trebuchet MS" w:eastAsia="HGMinchoB" w:hAnsi="Trebuchet MS" w:cs="Arial"/>
          <w:noProof/>
          <w:sz w:val="20"/>
          <w:szCs w:val="20"/>
          <w:lang w:eastAsia="nl-NL"/>
        </w:rPr>
        <w:drawing>
          <wp:inline distT="0" distB="0" distL="0" distR="0" wp14:anchorId="68E9C0DC" wp14:editId="6A98AB16">
            <wp:extent cx="5303763" cy="7180390"/>
            <wp:effectExtent l="0" t="0" r="0" b="1905"/>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8609" cy="7186950"/>
                    </a:xfrm>
                    <a:prstGeom prst="rect">
                      <a:avLst/>
                    </a:prstGeom>
                    <a:noFill/>
                    <a:ln>
                      <a:noFill/>
                    </a:ln>
                  </pic:spPr>
                </pic:pic>
              </a:graphicData>
            </a:graphic>
          </wp:inline>
        </w:drawing>
      </w:r>
    </w:p>
    <w:sectPr w:rsidR="00B64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Yu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36097"/>
    <w:multiLevelType w:val="hybridMultilevel"/>
    <w:tmpl w:val="96A250C8"/>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9"/>
    <w:rsid w:val="0008586D"/>
    <w:rsid w:val="00AC3559"/>
    <w:rsid w:val="00B64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C506"/>
  <w15:chartTrackingRefBased/>
  <w15:docId w15:val="{59F6BDD9-798F-4B9B-B0EE-F73CDB57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C35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AC3559"/>
    <w:pPr>
      <w:spacing w:after="0" w:line="240" w:lineRule="auto"/>
      <w:contextualSpacing/>
    </w:pPr>
    <w:rPr>
      <w:rFonts w:ascii="Trebuchet MS" w:eastAsia="HGMinchoB"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6CBBC-427F-4777-9CBC-D12073FFA54B}">
  <ds:schemaRefs>
    <ds:schemaRef ds:uri="http://schemas.microsoft.com/sharepoint/v3/contenttype/forms"/>
  </ds:schemaRefs>
</ds:datastoreItem>
</file>

<file path=customXml/itemProps2.xml><?xml version="1.0" encoding="utf-8"?>
<ds:datastoreItem xmlns:ds="http://schemas.openxmlformats.org/officeDocument/2006/customXml" ds:itemID="{AC0FC024-F698-4D9F-A0ED-35A5DEAEA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C4EF0D-A4FB-4B98-894E-89BA1C452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3862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2</cp:revision>
  <dcterms:created xsi:type="dcterms:W3CDTF">2018-11-12T07:49:00Z</dcterms:created>
  <dcterms:modified xsi:type="dcterms:W3CDTF">2018-12-02T12:34:00Z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